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F6D" w:rsidRPr="00AA61C8" w:rsidRDefault="00CC64CF" w:rsidP="00CC64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29358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85" w:rsidRPr="00AA61C8" w:rsidRDefault="00402C85" w:rsidP="00C912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2C85" w:rsidRPr="00AA61C8" w:rsidRDefault="00CC64CF" w:rsidP="00C912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6514" cy="8629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28" cy="86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14D4" w:rsidRPr="00AA61C8" w:rsidRDefault="00BF14D4" w:rsidP="00C912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03A0" w:rsidRPr="00AA61C8" w:rsidRDefault="00C803A0" w:rsidP="00C803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60451858"/>
      <w:r w:rsidRPr="00AA61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tbl>
      <w:tblPr>
        <w:tblStyle w:val="a3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08"/>
        <w:gridCol w:w="796"/>
      </w:tblGrid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ind w:firstLine="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Общие сведения о планируемой (намечаемой) хозяйственной и иной деятельности: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ind w:firstLine="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>Сведения о заказчике планируемой (намечаемой) хозяйственной и иной деятельности с указанием наименования юридического лица, юридического и (или) фактического адреса, телефона, адреса электронной почты (при наличии), факса (при наличии), фамилии, имени, отчества (при наличии) индивидуального предпринимателя, телефона и адреса электронной почты (при наличии) контактного лица.</w:t>
            </w:r>
            <w:proofErr w:type="gramEnd"/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ind w:firstLine="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1.2. Наименование планируемой (намечаемой) хозяйственной и иной деятельности и планируемое место ее реализации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ind w:firstLine="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1.3 Цель и необходимость реализации, планируемой (намечаемой) хозяйственной и иной деятельности.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ind w:firstLine="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1.4. Описание планируемой (намечаемой) хозяйственной и иной деятельности, включая альтернативные варианты достижения цели планируемой (намечаемой) хозяйственной и иной деятельности (технические и технологические решения, возможные альтернативы мест ее реализации, иные варианты реализации планируемой (намечаемой) хозяйственной и иной деятельности в пределах полномочий заказчика), а также возможность отказа от деятельности.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ind w:firstLine="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1.5. Техническое задание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Описание возможных видов воздействия на окружающую среду планируемой (намечаемой) хозяйственной и иной деятельности по альтернативным вариантам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Описание окружающей среды, которая может быть затронута </w:t>
            </w: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может быть затрону</w:t>
            </w: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>т(</w:t>
            </w:r>
            <w:proofErr w:type="gramEnd"/>
            <w:r w:rsidRPr="00AA61C8">
              <w:rPr>
                <w:rFonts w:ascii="Times New Roman" w:hAnsi="Times New Roman"/>
                <w:sz w:val="28"/>
                <w:szCs w:val="28"/>
              </w:rPr>
              <w:t>а) планируемой (намечаемой) хозяйственной и иной деятельностью в результате ее реализации (физико-географические, природно-климатические, геологические и гидрогеологические, гидрографические, почвенные условия, характеристика растительного и животного мира, качество окружающей среды, в том числе атмосферного воздуха, водных объектов, почв), включая социально-экономическую ситуацию района реализации планируемой (намечаемой) хозяйственной и иной деятельности.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а) материал и методы оценки состояния запасов раков и среды обитания во внутренних водоемах Ростовской области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б) краткое описание окружающей среды раков, которая может быть затронута планируемой (намечаемой) хозяйственной и иной деятельностью в результате ее реализации.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в) список видов водных биоресурсов в районах добычи (вылова), в отношении которых разработаны материалы ОДУ (материалы корректировки ОДУ).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г) характеристика раков в водных объектах Ростовской области, в отношении которых разработаны материалы ОДУ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Раки (виды родов </w:t>
            </w:r>
            <w:proofErr w:type="spellStart"/>
            <w:r w:rsidRPr="00AA61C8">
              <w:rPr>
                <w:rFonts w:ascii="Times New Roman" w:hAnsi="Times New Roman"/>
                <w:sz w:val="28"/>
                <w:szCs w:val="28"/>
              </w:rPr>
              <w:t>Astacus</w:t>
            </w:r>
            <w:proofErr w:type="spellEnd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A61C8">
              <w:rPr>
                <w:rFonts w:ascii="Times New Roman" w:hAnsi="Times New Roman"/>
                <w:sz w:val="28"/>
                <w:szCs w:val="28"/>
              </w:rPr>
              <w:t>Pontastacus</w:t>
            </w:r>
            <w:proofErr w:type="spellEnd"/>
            <w:r w:rsidRPr="00AA61C8">
              <w:rPr>
                <w:rFonts w:ascii="Times New Roman" w:hAnsi="Times New Roman"/>
                <w:sz w:val="28"/>
                <w:szCs w:val="28"/>
              </w:rPr>
              <w:t>), р. Дон, включая водоемы поймы (13129)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Раки (виды родов </w:t>
            </w:r>
            <w:proofErr w:type="spellStart"/>
            <w:r w:rsidRPr="00AA61C8">
              <w:rPr>
                <w:rFonts w:ascii="Times New Roman" w:hAnsi="Times New Roman"/>
                <w:sz w:val="28"/>
                <w:szCs w:val="28"/>
              </w:rPr>
              <w:t>Astacus</w:t>
            </w:r>
            <w:proofErr w:type="spellEnd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A61C8">
              <w:rPr>
                <w:rFonts w:ascii="Times New Roman" w:hAnsi="Times New Roman"/>
                <w:sz w:val="28"/>
                <w:szCs w:val="28"/>
              </w:rPr>
              <w:t>Pontastacus</w:t>
            </w:r>
            <w:proofErr w:type="spellEnd"/>
            <w:r w:rsidRPr="00AA61C8">
              <w:rPr>
                <w:rFonts w:ascii="Times New Roman" w:hAnsi="Times New Roman"/>
                <w:sz w:val="28"/>
                <w:szCs w:val="28"/>
              </w:rPr>
              <w:t>), бассейн р. Сал (12870)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Оценка воздействия на окружающую среду (атмосферный воздух, поверхностные водные объекты, геологическую среду и подземные воды, почвы, растительный и животный мир, воздействие отходов производства и потребления на состояние окружающей среды, оценка физических факторов воздействия, описание возможных аварийных ситуаций и оценка воздействия на окружающую среду при аварийных ситуациях) планируемой </w:t>
            </w: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(намечаемой) хозяйственной и иной деятельности по рассмотренным альтернативным вариантам ее реализации, в том</w:t>
            </w:r>
            <w:proofErr w:type="gramEnd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>числе</w:t>
            </w:r>
            <w:proofErr w:type="gramEnd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 оценка достоверности прогнозируемых последствий планируемой (намечаемой) хозяйственной и иной деятельности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86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Меры по предотвращению и (или) уменьшению возможного негативного воздействия планируемой (намечаемой) хозяйственной и иной деятельности на окружающую среду, в том числе по охране атмосферного воздуха, водных объектов,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 и почвенного покрова; </w:t>
            </w: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>по обращению с отходами производства и потребления; по охране недр; по охране объектов растительного и животного мира и среды их обитания, включая объекты растительного и животного мира, занесенные в Красную книгу Российской Федерации и красные книги субъектов Российской Федерации; по минимизации возникновения возможных аварийных ситуаций и последствий их воздействия на окружающую среду</w:t>
            </w:r>
            <w:proofErr w:type="gramEnd"/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 Предложения по мероприятиям производственного экологического контроля и мониторинга окружающей среды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>Выявленные при проведении оценки воздействия на окружающую среду неопределенности в определении воздействий планируемой (намечаемой) хозяйственной и иной деятельности на окружающую среду, подготовка (при необходимости) предложений по проведению исследований последствий реализации, планируемой (намечаемой) хозяйственной и иной деятельности, эффективности выбранных мер по предотвращению и (или) уменьшению воздействия, а также для проверки сделанных прогнозов (</w:t>
            </w:r>
            <w:proofErr w:type="spellStart"/>
            <w:r w:rsidRPr="00AA61C8">
              <w:rPr>
                <w:rFonts w:ascii="Times New Roman" w:hAnsi="Times New Roman"/>
                <w:sz w:val="28"/>
                <w:szCs w:val="28"/>
              </w:rPr>
              <w:t>послепроектный</w:t>
            </w:r>
            <w:proofErr w:type="spellEnd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 анализ)</w:t>
            </w:r>
            <w:proofErr w:type="gramEnd"/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Обоснование выбора варианта реализации, планируемой (намечаемой) хозяйственной и иной деятельности, исходя из рассмотренных альтернатив, а также результатов проведенных исследований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A61C8">
              <w:rPr>
                <w:rFonts w:ascii="Times New Roman" w:hAnsi="Times New Roman"/>
                <w:sz w:val="28"/>
                <w:szCs w:val="28"/>
              </w:rPr>
              <w:t>Сведения о проведении общественных обсуждений, направленных на информирование граждан и юридических лиц о планируемой (намечаемой) хозяйственной и иной деятельности и ее возможном воздействии на окружающую среду, с целью обеспечения участия всех заинтересованных лиц (в том числе граждан, общественных организаций (объединений), представителей органов государственной власти, органов местного самоуправления), выявления общественных предпочтений и их учета в процессе проведения оценки воздействия на окружающую</w:t>
            </w:r>
            <w:proofErr w:type="gramEnd"/>
            <w:r w:rsidRPr="00AA61C8">
              <w:rPr>
                <w:rFonts w:ascii="Times New Roman" w:hAnsi="Times New Roman"/>
                <w:sz w:val="28"/>
                <w:szCs w:val="28"/>
              </w:rPr>
              <w:t xml:space="preserve"> среду.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 xml:space="preserve">9.1. </w:t>
            </w: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 xml:space="preserve">Сведения об органах государственной власти и (или) органах местного самоуправления, ответственных за информирование общественности, организацию и проведение общественных обсуждений.                                                                                                        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9.2. Техническое задание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 xml:space="preserve">9.3 Сведения об </w:t>
            </w:r>
            <w:proofErr w:type="gramStart"/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уведомлении</w:t>
            </w:r>
            <w:proofErr w:type="gramEnd"/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 xml:space="preserve"> о проведении общественных обсуждений проекта Технического задания (в случае принятия заказчиком решения о подготовке проекта Технического задания) и (или) уведомлении о проведении общественных обсуждений предварительных материалов оценки воздействия на окружающую среду (или объекта экологической экспертизы, включая предварительные материалы оценки воздействия на окружающую среду) (далее - уведомление) и его размещении не позднее чем за 3 календарных дня до начала планируемого общественного обсуждения, исчисляемого </w:t>
            </w:r>
            <w:proofErr w:type="gramStart"/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с даты обеспечения</w:t>
            </w:r>
            <w:proofErr w:type="gramEnd"/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 xml:space="preserve"> доступности объекта общественных обсуждений для ознакомления </w:t>
            </w: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общественности (см. «Материалы общественных обсуждений в составе ОВОС»). 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9.4. Сведения о форме проведения общественных обсуждений, определенной органами местного самоуправления или органами государственной власти субъектов Российской Федерации.</w:t>
            </w:r>
          </w:p>
        </w:tc>
        <w:tc>
          <w:tcPr>
            <w:tcW w:w="796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Результаты оценки воздействия на окружающую среду, содержащие: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а) информацию о характере и масштабах воздействия на окружающую среду планируемой (намечаемой) хозяйственной и иной деятельности, альтернативах ее реализации, оценке экологических и связанных с ними социально-экономических и иных последствий этого воздействия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б) сведения о выявлении и учете (с обоснованиями учета или причин отклонения) общественных предпочтений при принятии заказчиком (исполнителем) решений, касающихся планируемой (намечаемой) хозяйственной и иной деятельности;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 xml:space="preserve">в) обоснование и решения заказчика по определению альтернативных вариантов реализации, планируемой (намечаемой) хозяйственной и иной деятельности (в том числе по выбору технологий и (или) месту размещения объекта и (или) иные) или отказа от ее </w:t>
            </w:r>
            <w:proofErr w:type="gramStart"/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>реализации</w:t>
            </w:r>
            <w:proofErr w:type="gramEnd"/>
            <w:r w:rsidRPr="00AA61C8">
              <w:rPr>
                <w:rFonts w:ascii="Times New Roman" w:hAnsi="Times New Roman"/>
                <w:iCs/>
                <w:sz w:val="28"/>
                <w:szCs w:val="28"/>
              </w:rPr>
              <w:t xml:space="preserve"> согласно проведенной оценке воздействия на окружающую среду.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Резюме нетехнического характера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08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bCs/>
                <w:sz w:val="28"/>
                <w:szCs w:val="28"/>
              </w:rPr>
              <w:t>Запасы и ОДУ водных биоресурсов во внутренних водах Ростовской области, за исключением внутренних морских вод, на 2025 г.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803A0" w:rsidRPr="00AA61C8" w:rsidTr="00E20CBF">
        <w:tc>
          <w:tcPr>
            <w:tcW w:w="534" w:type="dxa"/>
          </w:tcPr>
          <w:p w:rsidR="00C803A0" w:rsidRPr="00AA61C8" w:rsidRDefault="00C803A0" w:rsidP="00E20C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308" w:type="dxa"/>
          </w:tcPr>
          <w:p w:rsidR="00C803A0" w:rsidRPr="00AA61C8" w:rsidRDefault="00C803A0" w:rsidP="00E20CBF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96" w:type="dxa"/>
          </w:tcPr>
          <w:p w:rsidR="00C803A0" w:rsidRPr="00AA61C8" w:rsidRDefault="00C803A0" w:rsidP="000B4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61C8">
              <w:rPr>
                <w:rFonts w:ascii="Times New Roman" w:hAnsi="Times New Roman"/>
                <w:sz w:val="28"/>
                <w:szCs w:val="28"/>
              </w:rPr>
              <w:t>10</w:t>
            </w:r>
            <w:r w:rsidR="000B4B3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402C85" w:rsidRPr="00AA61C8" w:rsidRDefault="00402C85" w:rsidP="00454B3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Общие сведения о планируемой (намечаемой) хоз</w:t>
      </w:r>
      <w:r w:rsidR="00644B05"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яйственной и иной деятельности:</w:t>
      </w:r>
    </w:p>
    <w:p w:rsidR="00402C85" w:rsidRPr="00AA61C8" w:rsidRDefault="00402C8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1.1. </w:t>
      </w:r>
      <w:proofErr w:type="gram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Сведения о заказчике планируемой (намечаемой) хозяйственной и иной деятельности с указанием наименования юридического лица, юридического и (или) фактического адреса, телефона, адреса электронной почты (при наличии), факса (при наличии), фамилии, имени, отчества (при наличии) индивидуального предпринимателя, телефона и адреса электронной почты (при наличии) контактного лица.</w:t>
      </w:r>
      <w:proofErr w:type="gramEnd"/>
    </w:p>
    <w:bookmarkEnd w:id="1"/>
    <w:p w:rsidR="00AA61C8" w:rsidRPr="00AA61C8" w:rsidRDefault="00AA61C8" w:rsidP="00AA61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  <w:u w:val="single"/>
        </w:rPr>
        <w:t xml:space="preserve">Заказчик </w:t>
      </w:r>
      <w:r w:rsidRPr="00AA61C8">
        <w:rPr>
          <w:rFonts w:ascii="Times New Roman" w:hAnsi="Times New Roman" w:cs="Times New Roman"/>
          <w:sz w:val="28"/>
          <w:szCs w:val="28"/>
        </w:rPr>
        <w:t xml:space="preserve">– Федеральное агентство по рыболовству: </w:t>
      </w:r>
    </w:p>
    <w:p w:rsidR="00AA61C8" w:rsidRPr="00AA61C8" w:rsidRDefault="00AA61C8" w:rsidP="00AA61C8">
      <w:pPr>
        <w:autoSpaceDE w:val="0"/>
        <w:autoSpaceDN w:val="0"/>
        <w:adjustRightInd w:val="0"/>
        <w:spacing w:after="0" w:line="360" w:lineRule="auto"/>
        <w:ind w:right="2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98241259"/>
      <w:r w:rsidRPr="00AA61C8">
        <w:rPr>
          <w:rFonts w:ascii="Times New Roman" w:eastAsia="Times New Roman" w:hAnsi="Times New Roman" w:cs="Times New Roman"/>
          <w:sz w:val="28"/>
          <w:szCs w:val="28"/>
        </w:rPr>
        <w:t>ОГРН 1087746846274, ИНН 7702679523; 107996,</w:t>
      </w:r>
    </w:p>
    <w:p w:rsidR="00AA61C8" w:rsidRPr="00AA61C8" w:rsidRDefault="00AA61C8" w:rsidP="00AA61C8">
      <w:pPr>
        <w:autoSpaceDE w:val="0"/>
        <w:autoSpaceDN w:val="0"/>
        <w:adjustRightInd w:val="0"/>
        <w:spacing w:after="0" w:line="360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г. Москва, Рождественский бульвар, д. 12, тел. +7(495)6287700, факс: +7(495)9870554, +7(495)6281904,e-mail: </w:t>
      </w:r>
      <w:hyperlink r:id="rId11" w:tgtFrame="_blank" w:history="1">
        <w:r w:rsidRPr="00AA61C8">
          <w:rPr>
            <w:rStyle w:val="af4"/>
            <w:rFonts w:ascii="Times New Roman" w:eastAsia="Times New Roman" w:hAnsi="Times New Roman" w:cs="Times New Roman"/>
            <w:sz w:val="28"/>
            <w:szCs w:val="28"/>
          </w:rPr>
          <w:t>harbour@fishcom.ru</w:t>
        </w:r>
      </w:hyperlink>
      <w:r w:rsidRPr="00AA61C8">
        <w:rPr>
          <w:rStyle w:val="af4"/>
          <w:rFonts w:ascii="Times New Roman" w:eastAsia="Times New Roman" w:hAnsi="Times New Roman" w:cs="Times New Roman"/>
          <w:sz w:val="28"/>
          <w:szCs w:val="28"/>
        </w:rPr>
        <w:t>.</w:t>
      </w:r>
      <w:r w:rsidRPr="00AA61C8">
        <w:rPr>
          <w:rFonts w:ascii="Times New Roman" w:hAnsi="Times New Roman" w:cs="Times New Roman"/>
          <w:sz w:val="28"/>
          <w:szCs w:val="28"/>
        </w:rPr>
        <w:t xml:space="preserve"> Контактное лицо: 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Шилин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 Игорь Владимирович,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тел. +7 (495) 9870670; e-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>: shilin@fishcom.ru.</w:t>
      </w:r>
    </w:p>
    <w:bookmarkEnd w:id="2"/>
    <w:p w:rsidR="00AA61C8" w:rsidRPr="00AA61C8" w:rsidRDefault="00AA61C8" w:rsidP="00AA61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  <w:u w:val="single"/>
        </w:rPr>
        <w:t>Представитель заказчика</w:t>
      </w:r>
      <w:r w:rsidRPr="00AA61C8">
        <w:rPr>
          <w:rFonts w:ascii="Times New Roman" w:hAnsi="Times New Roman" w:cs="Times New Roman"/>
          <w:sz w:val="28"/>
          <w:szCs w:val="28"/>
        </w:rPr>
        <w:t xml:space="preserve"> – Азово-Черноморское территориальное управление Росрыболовства:</w:t>
      </w:r>
    </w:p>
    <w:p w:rsidR="00AA61C8" w:rsidRPr="00AA61C8" w:rsidRDefault="00AA61C8" w:rsidP="00AA61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</w:rPr>
        <w:t>ОГРН 1096164000019, ИНН 6164287579;</w:t>
      </w:r>
    </w:p>
    <w:p w:rsidR="00AA61C8" w:rsidRPr="00AA61C8" w:rsidRDefault="00AA61C8" w:rsidP="00AA61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bCs/>
          <w:sz w:val="28"/>
          <w:szCs w:val="28"/>
        </w:rPr>
        <w:t xml:space="preserve">344002, </w:t>
      </w:r>
      <w:r w:rsidRPr="00AA61C8">
        <w:rPr>
          <w:rFonts w:ascii="Times New Roman" w:hAnsi="Times New Roman" w:cs="Times New Roman"/>
          <w:sz w:val="28"/>
          <w:szCs w:val="28"/>
        </w:rPr>
        <w:t>г. Ростов-на-Дону, ул. </w:t>
      </w:r>
      <w:proofErr w:type="gramStart"/>
      <w:r w:rsidRPr="00AA61C8"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 w:rsidRPr="00AA61C8">
        <w:rPr>
          <w:rFonts w:ascii="Times New Roman" w:hAnsi="Times New Roman" w:cs="Times New Roman"/>
          <w:sz w:val="28"/>
          <w:szCs w:val="28"/>
        </w:rPr>
        <w:t>, д. 21 в, тел.: +7(863)2001197, e-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AA61C8">
          <w:rPr>
            <w:rStyle w:val="af4"/>
            <w:rFonts w:ascii="Times New Roman" w:hAnsi="Times New Roman"/>
            <w:sz w:val="28"/>
            <w:szCs w:val="28"/>
            <w:lang w:val="en-US"/>
          </w:rPr>
          <w:t>info</w:t>
        </w:r>
        <w:r w:rsidRPr="00AA61C8">
          <w:rPr>
            <w:rStyle w:val="af4"/>
            <w:rFonts w:ascii="Times New Roman" w:hAnsi="Times New Roman"/>
            <w:sz w:val="28"/>
            <w:szCs w:val="28"/>
          </w:rPr>
          <w:t>@</w:t>
        </w:r>
        <w:r w:rsidRPr="00AA61C8">
          <w:rPr>
            <w:rStyle w:val="af4"/>
            <w:rFonts w:ascii="Times New Roman" w:hAnsi="Times New Roman"/>
            <w:sz w:val="28"/>
            <w:szCs w:val="28"/>
            <w:lang w:val="en-US"/>
          </w:rPr>
          <w:t>rostov</w:t>
        </w:r>
        <w:r w:rsidRPr="00AA61C8">
          <w:rPr>
            <w:rStyle w:val="af4"/>
            <w:rFonts w:ascii="Times New Roman" w:hAnsi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/>
            <w:sz w:val="28"/>
            <w:szCs w:val="28"/>
            <w:lang w:val="en-US"/>
          </w:rPr>
          <w:t>fish</w:t>
        </w:r>
        <w:r w:rsidRPr="00AA61C8">
          <w:rPr>
            <w:rStyle w:val="af4"/>
            <w:rFonts w:ascii="Times New Roman" w:hAnsi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/>
            <w:sz w:val="28"/>
            <w:szCs w:val="28"/>
            <w:lang w:val="en-US"/>
          </w:rPr>
          <w:t>gov</w:t>
        </w:r>
        <w:r w:rsidRPr="00AA61C8">
          <w:rPr>
            <w:rStyle w:val="af4"/>
            <w:rFonts w:ascii="Times New Roman" w:hAnsi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AA61C8">
        <w:t xml:space="preserve"> </w:t>
      </w:r>
      <w:r w:rsidRPr="00AA61C8">
        <w:rPr>
          <w:rFonts w:ascii="Times New Roman" w:hAnsi="Times New Roman" w:cs="Times New Roman"/>
          <w:sz w:val="28"/>
          <w:szCs w:val="28"/>
        </w:rPr>
        <w:t xml:space="preserve">Контактное лицо: 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Кизилова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 Анджела Васильевна, тел. +7(863)280-05-34, </w:t>
      </w:r>
      <w:r w:rsidRPr="00AA61C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61C8">
        <w:rPr>
          <w:rFonts w:ascii="Times New Roman" w:hAnsi="Times New Roman" w:cs="Times New Roman"/>
          <w:sz w:val="28"/>
          <w:szCs w:val="28"/>
        </w:rPr>
        <w:t>-</w:t>
      </w:r>
      <w:r w:rsidRPr="00AA61C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A61C8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oorr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@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rostov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fish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A61C8" w:rsidRPr="00AA61C8" w:rsidRDefault="00AA61C8" w:rsidP="00AA61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  <w:u w:val="single"/>
        </w:rPr>
        <w:t>Исполнитель</w:t>
      </w:r>
      <w:r w:rsidRPr="00AA61C8">
        <w:rPr>
          <w:rFonts w:ascii="Times New Roman" w:hAnsi="Times New Roman" w:cs="Times New Roman"/>
          <w:sz w:val="28"/>
          <w:szCs w:val="28"/>
        </w:rPr>
        <w:t xml:space="preserve"> – ФГБНУ «ВНИРО», 105187, г. Москва, проезд Окружной, 19, тел.: +7(499)2649387; ФГБНУ «ВНИРО» (Азово-Черноморский филиал), </w:t>
      </w:r>
    </w:p>
    <w:p w:rsidR="00AA61C8" w:rsidRPr="00AA61C8" w:rsidRDefault="00AA61C8" w:rsidP="00AA61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</w:rPr>
        <w:t>ОГРН 1157746053431, ИНН 7708245723;</w:t>
      </w:r>
    </w:p>
    <w:p w:rsidR="00AA61C8" w:rsidRPr="00AA61C8" w:rsidRDefault="00AA61C8" w:rsidP="00AA61C8">
      <w:pPr>
        <w:spacing w:after="0" w:line="360" w:lineRule="auto"/>
        <w:ind w:firstLine="709"/>
        <w:jc w:val="both"/>
        <w:rPr>
          <w:rStyle w:val="af4"/>
        </w:rPr>
      </w:pPr>
      <w:r w:rsidRPr="00AA61C8">
        <w:rPr>
          <w:rFonts w:ascii="Times New Roman" w:hAnsi="Times New Roman" w:cs="Times New Roman"/>
          <w:sz w:val="28"/>
          <w:szCs w:val="28"/>
        </w:rPr>
        <w:t>344002, г. Ростов-на-Дону, ул. </w:t>
      </w:r>
      <w:proofErr w:type="gramStart"/>
      <w:r w:rsidRPr="00AA61C8"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 w:rsidRPr="00AA61C8">
        <w:rPr>
          <w:rFonts w:ascii="Times New Roman" w:hAnsi="Times New Roman" w:cs="Times New Roman"/>
          <w:sz w:val="28"/>
          <w:szCs w:val="28"/>
        </w:rPr>
        <w:t>, д. 21 в, тел.</w:t>
      </w:r>
      <w:r w:rsidRPr="00AA61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+7 (863) 2624850</w:t>
      </w:r>
      <w:r w:rsidRPr="00AA61C8">
        <w:rPr>
          <w:rFonts w:ascii="Times New Roman" w:hAnsi="Times New Roman" w:cs="Times New Roman"/>
          <w:sz w:val="28"/>
          <w:szCs w:val="28"/>
        </w:rPr>
        <w:t>: факс:</w:t>
      </w:r>
      <w:r w:rsidRPr="00AA61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+7 (863) 2620505</w:t>
      </w:r>
      <w:r w:rsidRPr="00AA61C8">
        <w:rPr>
          <w:rFonts w:ascii="Times New Roma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61C8">
        <w:rPr>
          <w:rFonts w:ascii="Times New Roman" w:hAnsi="Times New Roman" w:cs="Times New Roman"/>
          <w:sz w:val="28"/>
          <w:szCs w:val="28"/>
        </w:rPr>
        <w:t>-</w:t>
      </w:r>
      <w:r w:rsidRPr="00AA61C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A61C8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azniirkh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@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vniro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A61C8">
        <w:rPr>
          <w:rFonts w:ascii="Times New Roman" w:hAnsi="Times New Roman" w:cs="Times New Roman"/>
          <w:sz w:val="28"/>
          <w:szCs w:val="28"/>
        </w:rPr>
        <w:t xml:space="preserve">. Контактное лицо: Белоусов Владимир Николаевич, тел. +7 (863)2624850, </w:t>
      </w:r>
      <w:r w:rsidRPr="00AA61C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61C8">
        <w:rPr>
          <w:rFonts w:ascii="Times New Roman" w:hAnsi="Times New Roman" w:cs="Times New Roman"/>
          <w:sz w:val="28"/>
          <w:szCs w:val="28"/>
        </w:rPr>
        <w:t>-</w:t>
      </w:r>
      <w:r w:rsidRPr="00AA61C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A61C8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belousovvn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@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azniirkh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vniro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</w:rPr>
          <w:t>.</w:t>
        </w:r>
        <w:r w:rsidRPr="00AA61C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A61C8" w:rsidRPr="00AA61C8" w:rsidRDefault="00AA61C8" w:rsidP="00AA61C8">
      <w:pPr>
        <w:spacing w:after="0" w:line="360" w:lineRule="auto"/>
        <w:ind w:firstLine="709"/>
        <w:jc w:val="both"/>
      </w:pPr>
      <w:r w:rsidRPr="00AA61C8">
        <w:rPr>
          <w:rFonts w:ascii="Times New Roman" w:hAnsi="Times New Roman" w:cs="Times New Roman"/>
          <w:sz w:val="28"/>
          <w:szCs w:val="28"/>
          <w:u w:val="single"/>
        </w:rPr>
        <w:t>Орган, ответственный за организацию общественных обсуждений</w:t>
      </w:r>
      <w:r w:rsidRPr="00AA61C8">
        <w:rPr>
          <w:rFonts w:ascii="Times New Roman" w:hAnsi="Times New Roman" w:cs="Times New Roman"/>
          <w:sz w:val="28"/>
          <w:szCs w:val="28"/>
        </w:rPr>
        <w:t xml:space="preserve"> – Администрация муниципального образования Семикаракорского района: </w:t>
      </w:r>
      <w:r w:rsidRPr="00AA61C8">
        <w:rPr>
          <w:rFonts w:ascii="Times New Roman" w:hAnsi="Times New Roman" w:cs="Times New Roman"/>
          <w:sz w:val="28"/>
          <w:szCs w:val="28"/>
          <w:shd w:val="clear" w:color="auto" w:fill="FFFFFF"/>
        </w:rPr>
        <w:t>346630, Ростовская область, г. Семикаракорск, пр. </w:t>
      </w:r>
      <w:proofErr w:type="gramStart"/>
      <w:r w:rsidRPr="00AA61C8">
        <w:rPr>
          <w:rFonts w:ascii="Times New Roman" w:hAnsi="Times New Roman" w:cs="Times New Roman"/>
          <w:sz w:val="28"/>
          <w:szCs w:val="28"/>
          <w:shd w:val="clear" w:color="auto" w:fill="FFFFFF"/>
        </w:rPr>
        <w:t>Арабского</w:t>
      </w:r>
      <w:proofErr w:type="gramEnd"/>
      <w:r w:rsidRPr="00AA61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д. 18, </w:t>
      </w:r>
      <w:r w:rsidRPr="00AA61C8">
        <w:rPr>
          <w:rFonts w:ascii="Times New Roman" w:hAnsi="Times New Roman" w:cs="Times New Roman"/>
          <w:sz w:val="28"/>
          <w:szCs w:val="28"/>
        </w:rPr>
        <w:lastRenderedPageBreak/>
        <w:t>тел. +7(86356)41845, e-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admrn</w:t>
        </w:r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</w:rPr>
          <w:t>@</w:t>
        </w:r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semikar</w:t>
        </w:r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</w:rPr>
          <w:t>.</w:t>
        </w:r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donpac</w:t>
        </w:r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</w:rPr>
          <w:t>.</w:t>
        </w:r>
        <w:r w:rsidRPr="00AA61C8">
          <w:rPr>
            <w:rStyle w:val="af4"/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ru</w:t>
        </w:r>
      </w:hyperlink>
      <w:r w:rsidRPr="00AA61C8">
        <w:rPr>
          <w:rFonts w:ascii="Calibri" w:eastAsia="Calibri" w:hAnsi="Calibri" w:cs="Times New Roman"/>
        </w:rPr>
        <w:t>.</w:t>
      </w:r>
      <w:r w:rsidRPr="00AA61C8">
        <w:rPr>
          <w:rFonts w:ascii="Times New Roman" w:hAnsi="Times New Roman" w:cs="Times New Roman"/>
          <w:sz w:val="28"/>
          <w:szCs w:val="28"/>
        </w:rPr>
        <w:t xml:space="preserve"> Контактное лицо: 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Чеброва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 Юлия Игоревна, тел. +7(86356)41757, e-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>: ushsr@mail.ru</w:t>
      </w:r>
    </w:p>
    <w:p w:rsidR="00402C85" w:rsidRPr="00AA61C8" w:rsidRDefault="00402C8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1.2. Наименование планируемой (намечаемой) хозяйственной и иной деятельности и планируемое место ее реализации. </w:t>
      </w:r>
    </w:p>
    <w:p w:rsidR="00402C85" w:rsidRPr="00AA61C8" w:rsidRDefault="00402C85" w:rsidP="00C9121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объемов общего допустимого улова (далее – ОДУ) водных биологических ресурсов (в соответствии с документацией «Материалы общего допустимого улова водных биоресурсов во внутренних водах Ростовской области, за исключением внутренних морских вод, на 2025 год (с оценкой воздействия на окружающую среду)» (далее – Материалы ОДУ).</w:t>
      </w:r>
      <w:proofErr w:type="gramEnd"/>
    </w:p>
    <w:p w:rsidR="00402C85" w:rsidRPr="00AA61C8" w:rsidRDefault="00402C8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1.3. Цель и необходимость </w:t>
      </w:r>
      <w:r w:rsidR="009D3785"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реализации,</w:t>
      </w: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планируемой (намечаемой) хозяйственной и иной деятельности.</w:t>
      </w:r>
    </w:p>
    <w:p w:rsidR="00402C85" w:rsidRPr="00AA61C8" w:rsidRDefault="00402C85" w:rsidP="00C9121F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и место намечаемой деятельности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регулирование добычи (вылова) ВБР в соответствии с обоснованиями ОДУ во внутренних водах Российской Федерации (Федеральный закон от 20.12.2004 № 166-ФЗ (ред. от 29.12.2022) «О рыболовстве и сохранении водных биологических ресурсов») (Азово-Черноморских рыбохозяйственный бассейн) с учетом экологических аспектов воздействия на окружающую среду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(Азово-Черноморский рыбохозяйственный бассейн,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внутренних водах Российской Федерации, за исключением внутренних морских вод Российской Федерации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границах Ростовской области).</w:t>
      </w:r>
    </w:p>
    <w:p w:rsidR="00402C85" w:rsidRPr="00AA61C8" w:rsidRDefault="00402C8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1.4. Описание планируемой (намечаемой) хозяйственной и иной деятельности, включая альтернативные варианты достижения </w:t>
      </w:r>
      <w:r w:rsidR="009D3785"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цели,</w:t>
      </w: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планируемой (намечаемой) хозяйственной и иной деятельности (технические и технологические решения, возможные альтернативы мест ее реализации, иные варианты </w:t>
      </w:r>
      <w:r w:rsidR="009D3785"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реализации,</w:t>
      </w: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планируемой (намечаемой) хозяйственной и иной деятельности в пределах полномочий заказчика), а также возможность отказа от деятельности.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Намечаемая деятельность, с целью регулирования рыболовства, заключается в обосновании ОДУ водных биологических ресурсов во внутренних водах Российской Федерации, за исключением внутренних морских вод Российской Федерации, в границах Ростовской области (р. Дон, включая водоемы поймы, и бассейн р. Сал) на 2025 год (с оценкой воздействия на окружающую среду).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районах промысла экосистемы внутренних водных объектов не подверглись значительным антропогенным изменениям. Межгодовая изменчивость состояния запасов ВБР, в основном, связана с многолетней динамикой численности, обусловленной урожайностью поколений и их выживаемостью, изменчивостью климата.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водных биологических ресурсов, в отношении которых устанавливается общий допустимый улов, определяется в соответствии с приказом Минсельхоза России от 08.09.2021 г. № 618 «Об утверждении перечня видов водных биологических ресурсов, в отношении которых устанавливается общий допустимый улов», зарегистрированного Минюстом России 15.10.2021 г. (регистрационный № 65432).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Альтернативные варианты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рассматривались ввиду особенностей определения общего допустимого улова водных биологических ресурсов, установленных ст. 21, 28, 42 Федерального закона  от 20.12.2004 №166-ФЗ «О рыболовстве и сохранении водных биологических ресурсов», постановлением Правительства Российской Федерации от 25.06.2009 №531 «Об определении и утверждении общего допустимого улова водных биологических ресурсов  «Об определении и утверждении общего допустимого улова водных биологических ресурсов и его изменений». </w:t>
      </w:r>
      <w:proofErr w:type="gramEnd"/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ч. 12 ст. 1 Федерального закона от 20 декабря 2004 г. № 166-ФЗ «О рыболовстве и сохранении водных биологических ресурсов» общий допустимый улов водных биологических ресурсов – научно обоснованная величина годовой добычи (вылова) водных биоресурсов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конкретного вида в определенных районах, установленная с учетом особенностей данного вида. При этом иные определения общего допустимого улова законодательством не предусмотрены.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Правительства Российской Федерации от 25 июня 2009 г. № 531 «Об определении и утверждении общего допустимого улова и внесении в него изменений» Федеральное агентство по рыболовству совместно с подведомственной научной организацией ФГБНУ «ВНИРО» подготавливает материалы, обосновывающие общий допустимый улов (далее – материалы ОДУ) для субъектов Российской Федерации и ФГБНУ «ВНИРО</w:t>
      </w:r>
      <w:r w:rsidR="009D37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направляет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государственную экологическую экспертизу.</w:t>
      </w:r>
      <w:proofErr w:type="gramEnd"/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вышеуказанными законодательными документами материалы ОДУ обосновывают исключительно величину годовой добычи (вылова) водных биологических ресурсов, выраженную в тоннах или в штуках. Обоснование иных величин применительно к рыболовству, как виду деятельности в материалах ОДУ законодательством не предусмотрено. При этом объектом государственной экологической экспертизы являются, по сути, основания и расчеты объемов изъятия видов водных биоресурсов из среды обитания и то, каким образом объемы изъятия повлияют на состояние вида водного биоресурса в районе обитания (единицы запаса).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Альтернативным вариантом научно обоснованного изъятия водных биоресурсов является полный запрет рыболовства, установленный Минсельхозом России в отношении конкретного вида водного биоресурса в конкретном районе. Однако в таком случае ОДУ вообще не разрабатывается.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уполномоченными государственными органами власти ежегодно общий допустимый улов водных биоресурсов должен быть установлен и распределен между пользователями.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связи с указанным альтернативный (нулевой) вариант в материалах ОВОС применительно к материалам ОДУ считаем не соответствующим законодательству в области рыболовства.</w:t>
      </w:r>
      <w:proofErr w:type="gramEnd"/>
    </w:p>
    <w:p w:rsidR="00402C85" w:rsidRPr="00AA61C8" w:rsidRDefault="00402C85" w:rsidP="00454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1.5. Техни</w:t>
      </w:r>
      <w:r w:rsidR="00454B34"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ческое задание не предусмотрено</w:t>
      </w:r>
    </w:p>
    <w:p w:rsidR="00402C85" w:rsidRPr="00AA61C8" w:rsidRDefault="00402C8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Описание возможных видов воздействия на окружающую среду планируемой (намечаемой) хозяйственной и иной деятельности по альтернативным вариантам.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94"/>
      <w:bookmarkStart w:id="4" w:name="P93"/>
      <w:bookmarkEnd w:id="3"/>
      <w:bookmarkEnd w:id="4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Намечаемая деятельность (обоснование ОДУ с целью регулирования добычи (вылова) водных биоресурсов) сама по себе не наносит ущерб окружающей среде. В свою очередь добыча (вылов) водных биоресурсов в объемах, не превышающих научно обоснованную величину ОДУ, при соблюдении Правил рыболовства не наносит ущерб популяциям, не препятствует нормальному воспроизводству и не оказывает негативное воздействие на окружающую среду и водные биологические ресурсы.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альтернативный («нулевой») вариант – не рассматривается, как не соответствующий законодательству в области рыболовства.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Описание окружающей среды, которая может быть затронута может быть затрону</w:t>
      </w:r>
      <w:proofErr w:type="gram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т(</w:t>
      </w:r>
      <w:proofErr w:type="gramEnd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 планируемой (намечаемой) хозяйственной и иной деятельностью в результате ее реализации (физико-географические, природно-климатические, геологические и гидрогеологические, гидрографические, почвенные условия, характеристика растительного и животного мира, качество окружающей среды, в том числе атмосферного воздуха, водных объектов, почв), включая социально-экономическую ситуацию района реализации планируемой (намечаемой) хозяйственной и иной деятельности.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 материал и методы оценки состояния запасов раков и среды обитания во внутренних водоемах Ростовской области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Район проведения работ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внутренние водные объекты Ростовской области – р. Дон, включая водоемы поймы, бассейн р. Сал.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Объем обработанного материала.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62741133"/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В 2023 г. исследования состояния, распределения, численности и биомассы популяций раков в промысловых водоемах Ростовской области (р. Дон, включая водоемы поймы и в бассейне р. Сал) проводили </w:t>
      </w:r>
      <w:bookmarkEnd w:id="5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="001F1F47" w:rsidRPr="00AA61C8">
        <w:rPr>
          <w:rFonts w:ascii="Times New Roman" w:eastAsia="Times New Roman" w:hAnsi="Times New Roman" w:cs="Times New Roman"/>
          <w:sz w:val="28"/>
          <w:szCs w:val="28"/>
        </w:rPr>
        <w:t>мая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-ноября 2023 г. Собраны материалы по условиям обитания, биологии речного рака, пространственному распределению, половой и размерно-массовой структуре популяций, встречаемости заболеваний, наличию заморных явлений в водоемах.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Проведен мониторинг промысла.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Исследования проводились на 9 станциях в р. Дон и пойменных водоемах и на 6 станциях в бассейне р. Сал. Карты-схемы расположения учетных станций в районах проведения работ представлены в подразделах 3.1, 3.2.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В качестве учетных орудий лова использовались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с размером (шагом) ячеи 16 мм и сак донской конструкции. Обработаны материалы из уловов </w:t>
      </w:r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620 </w:t>
      </w:r>
      <w:proofErr w:type="spellStart"/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раколовок</w:t>
      </w:r>
      <w:proofErr w:type="spellEnd"/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в бассейне р. Сал и 390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раколовок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12 тралений саком донской конструкции (типа </w:t>
      </w:r>
      <w:proofErr w:type="spellStart"/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бимтрала</w:t>
      </w:r>
      <w:proofErr w:type="spellEnd"/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)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– в р. Дон, включая водоемы поймы. Проведен биологический анализ 590 разновозрастных особей раков в бассейне р. Сал и 920 –в р. Дон и водоемах поймы.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оценки запасов раков и среды их обитания.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водоемах Азовского бассейна, в т. ч. Ростовской области, традиционно используется метод оценки текущего запаса раков по уловистости орудий лова и полезной площади водоемов, заселяемой раками –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ракопродуктивной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 (метод прямого учета) </w:t>
      </w:r>
      <w:r w:rsidRPr="00AA61C8">
        <w:rPr>
          <w:rFonts w:ascii="Times New Roman" w:eastAsia="TimesNewRomanPSMT" w:hAnsi="Times New Roman" w:cs="Times New Roman"/>
          <w:sz w:val="28"/>
          <w:szCs w:val="28"/>
          <w:lang w:eastAsia="ru-RU"/>
        </w:rPr>
        <w:t>[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Бродский, 1981; </w:t>
      </w:r>
      <w:r w:rsidRPr="00AA61C8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Рекомендации </w:t>
      </w:r>
      <w:proofErr w:type="spellStart"/>
      <w:r w:rsidRPr="00AA61C8">
        <w:rPr>
          <w:rFonts w:ascii="Times New Roman" w:eastAsia="TimesNewRomanPSMT" w:hAnsi="Times New Roman" w:cs="Times New Roman"/>
          <w:sz w:val="28"/>
          <w:szCs w:val="28"/>
          <w:lang w:eastAsia="ru-RU"/>
        </w:rPr>
        <w:t>ГосНИОРХ</w:t>
      </w:r>
      <w:proofErr w:type="spellEnd"/>
      <w:r w:rsidRPr="00AA61C8">
        <w:rPr>
          <w:rFonts w:ascii="Times New Roman" w:eastAsia="TimesNewRomanPSMT" w:hAnsi="Times New Roman" w:cs="Times New Roman"/>
          <w:sz w:val="28"/>
          <w:szCs w:val="28"/>
          <w:lang w:eastAsia="ru-RU"/>
        </w:rPr>
        <w:t>, 2002;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Нефедов, 2004; </w:t>
      </w:r>
      <w:r w:rsidRPr="00AA61C8">
        <w:rPr>
          <w:rFonts w:ascii="Times New Roman" w:eastAsia="TimesNewRomanPSMT" w:hAnsi="Times New Roman" w:cs="Times New Roman"/>
          <w:sz w:val="28"/>
          <w:szCs w:val="28"/>
          <w:lang w:eastAsia="ru-RU"/>
        </w:rPr>
        <w:t>Черкашина, 2007]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Ракопродуктивной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площадь водоема оптимальная по условиям для обитания раков всех возрастных групп. В Ростовской области – это участки водоемов или водотоков глубиной от 0,5 до 3,0 м с илисто-глинистыми или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илисто-песчаными грунтами, умеренно заросшие подводной и надводной растительностью, слабопроточные.</w:t>
      </w:r>
    </w:p>
    <w:p w:rsidR="009863F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аналитической оценки запаса раков и прогнозирования общего допустимого улова (ОДУ) на 2025 г. 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в бассейне р. Сал и р. Дон, включая водоемы поймы, использовался программный комплекс 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 [</w:t>
      </w:r>
      <w:proofErr w:type="spellStart"/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Mourato</w:t>
      </w:r>
      <w:proofErr w:type="spellEnd"/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et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al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2018; 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Winker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et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al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2019; </w:t>
      </w:r>
      <w:proofErr w:type="spellStart"/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Sant</w:t>
      </w:r>
      <w:proofErr w:type="spellEnd"/>
      <w:r w:rsidR="009863F5" w:rsidRPr="00AA61C8">
        <w:rPr>
          <w:rFonts w:ascii="Times New Roman" w:eastAsia="SimSun" w:hAnsi="Times New Roman" w:cs="Times New Roman"/>
          <w:sz w:val="28"/>
          <w:szCs w:val="28"/>
        </w:rPr>
        <w:t>’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Ana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et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al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="009863F5"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="009863F5" w:rsidRPr="00AA61C8">
        <w:rPr>
          <w:rFonts w:ascii="Times New Roman" w:eastAsia="SimSun" w:hAnsi="Times New Roman" w:cs="Times New Roman"/>
          <w:sz w:val="28"/>
          <w:szCs w:val="28"/>
        </w:rPr>
        <w:t xml:space="preserve">2020].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сведений о климатических и температурных особенностях годового периода во внутренних водных объектах выполнен с использованием данных мониторинговых исследований «АзНИИРХ» (постов мониторинга: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Веселовский и Азово-Донского отделов), а также с использованием общедоступных данных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интернет-ресурса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: http://www.pogodaiklimat.ru, https://pogoda.turtella.ru, http://www.donbvu.ru), «Бюллетеней» (№ 01-12/291-302) Северо-Кавказского управления по гидрометеорологии и мониторингу окружающей среды (СК УГМС)</w:t>
      </w:r>
      <w:r w:rsidRPr="00AA61C8">
        <w:rPr>
          <w:rFonts w:ascii="Times New Roman" w:eastAsia="Courier New" w:hAnsi="Times New Roman" w:cs="Times New Roman"/>
          <w:sz w:val="28"/>
          <w:szCs w:val="28"/>
        </w:rPr>
        <w:t>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Характеристика режима температуры воздуха составлена по данным метеорологических станций городов Ростов-на-Дону и Волгоград, в соответствии бассейновым принципом тяготения верховья р. Сал и водных объектов Нижнего Дона.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AA61C8">
        <w:rPr>
          <w:rFonts w:ascii="Times New Roman" w:eastAsia="Courier New" w:hAnsi="Times New Roman" w:cs="Times New Roman"/>
          <w:sz w:val="28"/>
          <w:szCs w:val="28"/>
        </w:rPr>
        <w:t xml:space="preserve">В работе использованы методы математико-статистической и графоаналитической обработки данных. В частности, по данным среднесуточных наблюдений вычислены среднемесячные значения. </w:t>
      </w:r>
    </w:p>
    <w:p w:rsidR="00402C85" w:rsidRPr="00AA61C8" w:rsidRDefault="00402C85" w:rsidP="00C912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Отбор, хранение и транспортировка в лабораторию проб выполнялись в соответствии с требованиями руководящих документов и для воды согласно ГОСТ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59024-2020</w:t>
      </w:r>
      <w:r w:rsidRPr="00AA6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донных отложений – согласно ГОСТ 17.1.5.01-80.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При определении показателей загрязнения воды и донных отложений использовались методики, принятые и утвержденные для мониторинговых природоохранных исследований на Федеральном уровне [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Барабашин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др., 2018].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Определение </w:t>
      </w:r>
      <w:r w:rsidRPr="00AA61C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растворенного кислорода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воде проводили титриметрическим методом </w:t>
      </w:r>
      <w:proofErr w:type="spellStart"/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Винклера</w:t>
      </w:r>
      <w:proofErr w:type="spellEnd"/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[РД 52.24.419-2019]. Для анализа биогенных веществ определяли концентрации в воде </w:t>
      </w:r>
      <w:r w:rsidRPr="00AA61C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аммонийного азота [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РД 52.24.383-2018] и </w:t>
      </w:r>
      <w:r w:rsidRPr="00AA61C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нитратного азота 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[РД 52.24.523-2009]. Определение общих форм азота [РД 52.24.364-2007] и фосфора [РД 52.24.387-2019] проводили фотометрическим методом. Определение массовой концентрации взвешенных веществ и общей минерализации проводили согласно [РД 52.24.468-2019].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содержанием токсикантов в воде водоемов проводился в соответствии с нормативами качества воды водных объектов рыбохозяйственного значения, в том числе нормативами предельно-допустимых концентраций вредных веществ в водах водных объектов рыбохозяйственного значения [Приказ Федерального Агентства по рыболовству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от 13 декабря 2016 г. № 552 с изменениями на 12 октября 2018</w:t>
      </w:r>
      <w:r w:rsidR="006C434D" w:rsidRPr="00AA61C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402C85" w:rsidRPr="00AA61C8" w:rsidRDefault="00402C85" w:rsidP="00454B3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проб воды и донных отложений для </w:t>
      </w:r>
      <w:r w:rsidRPr="00AA61C8">
        <w:rPr>
          <w:rFonts w:ascii="Times New Roman" w:eastAsia="SimSun" w:hAnsi="Times New Roman" w:cs="Times New Roman"/>
          <w:sz w:val="28"/>
          <w:szCs w:val="28"/>
        </w:rPr>
        <w:t>исследования содержания загрязняющих веществ в водной среде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проведен в весенний и летний период 2023 г. (май, август) на 8 станциях. </w:t>
      </w:r>
      <w:r w:rsidRPr="00AA61C8">
        <w:rPr>
          <w:rFonts w:ascii="Times New Roman" w:eastAsia="SimSun" w:hAnsi="Times New Roman" w:cs="Times New Roman"/>
          <w:sz w:val="28"/>
          <w:szCs w:val="28"/>
        </w:rPr>
        <w:t>В работах были занято 6 сотрудников института.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бассейне р. Сал (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Джурак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-Сал) отбор воды и донных отложений был проведен с 11 по 19 мая.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</w:rPr>
        <w:t>В работах были заняты 2 сотрудника института.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загрязнения воды и донных отложений нефтепродуктами проводилась комбинированным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ИК-спектрофотометрическим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флуоресцентным методом по сумме углеводородов, смол 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асфальтенов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[ФР.1.29.2012.12493; ФР.1.31.2005.01511]. Из стойких хлорорганических пестицидов (ХОП) в воде и донных отложениях проводилось определение наиболее распространенных изомеров ГХЦГ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(α-, γ-, β-) 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метаболитов ДДТ (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n,n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΄-ДДЕ,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-ДДЕ,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n,n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΄-ДДД,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-ДДД,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n,n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΄-ДДТ) суммарно [ФР.1.31.2005.01513; ФР.1.31.2013.16637].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Загрязнение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полихлорбифенилами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(ПХБ) воды и донных отложений оценивалось по сумме индикаторных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конгенеров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(изомеров), в число которых вошли: </w:t>
      </w:r>
      <w:r w:rsidRPr="00AA61C8">
        <w:rPr>
          <w:rFonts w:ascii="Times New Roman" w:eastAsia="SimSun" w:hAnsi="Times New Roman" w:cs="Times New Roman"/>
          <w:sz w:val="28"/>
          <w:szCs w:val="28"/>
        </w:rPr>
        <w:t>2,4,4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трихлорбифенил 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(ПХБ 28);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тетрахлорбифенил</w:t>
      </w:r>
      <w:proofErr w:type="spell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52);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,4,5,5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пентахлорбифенил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(ПХБ 101);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2,3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,5-пентахлорбифенил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118);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,3,4,4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гексахлорбифенил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(ПХБ 138);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гексахлорбифенил</w:t>
      </w:r>
      <w:proofErr w:type="spell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153);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,3,4,4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гептахлорбифенил</w:t>
      </w:r>
      <w:proofErr w:type="spell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180) [ФР.1.31.2021.38827].</w:t>
      </w:r>
      <w:proofErr w:type="gram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В обоих случаях применялись газохроматографические методики анализа. </w:t>
      </w:r>
      <w:proofErr w:type="spellStart"/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Кислоторастворимые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концентрации железа, марганца, цинка, хрома, свинца, кадмия и меди в воде определялись методом атомной абсорбции с электротермической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атомизацией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[ФР.1.31.2006.01514; РД 52.24.377-2021]; содержание общей растворенной ртути – методом атомной абсорбции «холодного пара» [РД 52.24.479-2008].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донных отложениях оценивалось валовое содержание железа, марганца, цинка, хрома, никеля, меди, свинца и мышьяка методом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рентгенфлюоресцентного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 [ФР.1.31.2006.02634],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кислоторастворимые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кадмия – методом атомной абсорбции с электротермической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атомизацией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[ФР.1.31.2007.03104], общее содержание ртути – методом атомной абсорбции «холодного пара» [ФР.1.31.2019.35823]. Удельная объемная активность цезия-137 в донных отложениях оценивалась на радиологической установке МКС-01А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Мультирад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Количественная оценка загрязнения воды рыбохозяйственных водоёмо</w:t>
      </w:r>
      <w:r w:rsidR="00AA693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проводилась в соответствии с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Федерального Агентства по рыболовству от 13 декабря 2016 г. N552 «Об утверждении нормативов качества водных объектов рыбохозяйственного значения, в том числе нормативов предельно допустимых концентраций вредных веществ в водах водных объектов рыбохозяйственного значения» (с изм</w:t>
      </w:r>
      <w:r w:rsidR="00AA693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енениями на 12 октября 2018 г.)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уровней накопления нефтяных стойких ХОП в гидробионтах проводилась по сумме наиболее распространенных изомеров ГХЦГ (α-, γ-, β-) и метаболитов ДДТ (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n,n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΄-ДДЕ,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-ДДЕ,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n,n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΄-ДДД,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-ДДД,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n,n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΄-ДДТ) [ФР.1.31.2008.04701], ПХБ - по сумме индикаторных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конгенеров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(изомеров),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число которых вошли: </w:t>
      </w:r>
      <w:r w:rsidRPr="00AA61C8">
        <w:rPr>
          <w:rFonts w:ascii="Times New Roman" w:eastAsia="SimSun" w:hAnsi="Times New Roman" w:cs="Times New Roman"/>
          <w:sz w:val="28"/>
          <w:szCs w:val="28"/>
        </w:rPr>
        <w:t>2,4,4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трихлорбифенил 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(ПХБ 28);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тетрахлорбифенил</w:t>
      </w:r>
      <w:proofErr w:type="spell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52);</w:t>
      </w:r>
      <w:proofErr w:type="gram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,4,5,5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пентахлорбифенил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(ПХБ 101);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2,3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,5-пентахлорбифенил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118);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,3,4,4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гексахлорбифенил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(ПХБ 138);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гексахлорбифенил</w:t>
      </w:r>
      <w:proofErr w:type="spell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153); </w:t>
      </w:r>
      <w:r w:rsidRPr="00AA61C8">
        <w:rPr>
          <w:rFonts w:ascii="Times New Roman" w:eastAsia="SimSun" w:hAnsi="Times New Roman" w:cs="Times New Roman"/>
          <w:sz w:val="28"/>
          <w:szCs w:val="28"/>
        </w:rPr>
        <w:t>2,2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,3,4,4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,5,5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΄</w:t>
      </w:r>
      <w:r w:rsidRPr="00AA61C8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гептахлорбифенил</w:t>
      </w:r>
      <w:proofErr w:type="spellEnd"/>
      <w:r w:rsidRPr="00AA61C8">
        <w:rPr>
          <w:rFonts w:ascii="Times New Roman" w:eastAsia="SimSun" w:hAnsi="Times New Roman" w:cs="Times New Roman"/>
          <w:bCs/>
          <w:spacing w:val="2"/>
          <w:kern w:val="36"/>
          <w:sz w:val="28"/>
          <w:szCs w:val="28"/>
        </w:rPr>
        <w:t xml:space="preserve"> (ПХБ 180) [ФР.1.31.2021.38827] методом высокоэффективной газовой хроматографии;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мышьяка, свинца и кадмия - методом атомной абсорбции с электротермической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атомизацией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[ФР.1.31.2007.04014, ФР.1.31.2019.32870], общей растворенной ртути - методом атомной абсорбции «холодного пара» [ФР.1.31.2015.21649].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удельной активности цезия-137 и стронция-90 проводилась на установке спектрометрической МКС-01А «МУЛЬТИРАД» на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гамма-спектрометре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сцинтилляционном «МУЛЬТИРАД-гамма». Безопасность уровней накопления токсикантов в гидробионтах, а также удельную активность цезия-137 и стронция-90 в мышцах рыб оценивались в соответствии с техническим регламентом [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ТС 021/2011 "О безопасности пищевой продукции" (с изменениями 2019 г.)].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определения уровня развития естественной кормовой базы раков использовались общепринятые методы [Руководство по методам…, 1992].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Пробы зоопланктона на глубине больше 3 м отбирали средней сетью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Джеди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, на мелководье – сетью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Апштейна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, фильтруя через неё 50 л воды. Сгущенную пробу помещали в емкости. Пробу фиксировали 40 % формалином до концентрации 4 %. Обработка проб проводилась в лабораторных условиях.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отбора проб зообентоса использовали ковшовый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дночерпатель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Петерсена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площадью захвата 0,025 м</w:t>
      </w:r>
      <w:proofErr w:type="gramStart"/>
      <w:r w:rsidRPr="00AA61C8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Проба на каждой станции бралась в двух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повторностях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. Фиксация материала проводилась 75 % раствором этанола.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Обработка проб зообентоса проводилась в лабораторных условиях по стандартной методике. Идентификацию беспозвоночных по возможности проводили до вида (за исключением групп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Oligochaeta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Chironomidae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) по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соответствующим определителям [Определитель…,</w:t>
      </w:r>
      <w:r w:rsidR="008B39A6" w:rsidRPr="00AA61C8">
        <w:rPr>
          <w:rFonts w:ascii="Times New Roman" w:eastAsia="Times New Roman" w:hAnsi="Times New Roman" w:cs="Times New Roman"/>
          <w:bCs/>
          <w:sz w:val="28"/>
          <w:szCs w:val="28"/>
        </w:rPr>
        <w:t> 77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1968, Определитель…, 1969, Определитель…, 1972, Определитель…,</w:t>
      </w:r>
      <w:r w:rsidR="00B33463" w:rsidRPr="00AA61C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1994, Определитель…, 1995,</w:t>
      </w:r>
      <w:r w:rsidRPr="00AA61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Определитель…, 2004,</w:t>
      </w:r>
      <w:r w:rsidRPr="00AA61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Определитель…, 2016].</w:t>
      </w:r>
    </w:p>
    <w:p w:rsidR="00402C85" w:rsidRPr="00AA61C8" w:rsidRDefault="00402C85" w:rsidP="00C9121F">
      <w:pPr>
        <w:suppressAutoHyphens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экспедиционных и лабораторных работ использовалось следующее оборудование.</w:t>
      </w:r>
    </w:p>
    <w:p w:rsidR="00402C85" w:rsidRPr="00AA61C8" w:rsidRDefault="00402C85" w:rsidP="00C9121F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мониторинге промысла промысловых бригад информация о состоянии популяции раков была собрана из промысловых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раколовок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применяемых в водоемах Ростовской области.</w:t>
      </w:r>
      <w:proofErr w:type="gramEnd"/>
    </w:p>
    <w:p w:rsidR="00402C85" w:rsidRPr="00AA61C8" w:rsidRDefault="00402C85" w:rsidP="00C9121F">
      <w:pPr>
        <w:widowControl w:val="0"/>
        <w:autoSpaceDE w:val="0"/>
        <w:snapToGri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анализа проб воды и донных отложений на содержание нефтепродуктов и ВБР для определения нефтяных углеводородов использовались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концентратомер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КН-3 («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СибЭкоПрибор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», Россия),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УФ-спектрофотометр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UV 2450 с программным обеспечением «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UV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Probe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2.10» («SHIMADZU», Япония)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спектрофлуорофотометр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RF-5301 PC с программным обеспечением «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Panorama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Fluorescence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1.1» («SHIMADZU», Япония).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Для анализа проб воды, донных отложений и ВБР на содержание ХОП и ПХБ использовались газовые хроматографы с детекторами ЭЗД «Кристалл 2000М» с программным обеспечением «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Хроматэк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аналитик 2.2» (Россия, СКБ «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Хроматэк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») и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«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Кристаллюкс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4000М» (Россия, ООО НПФ "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Метахром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").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анализа проб воды, ВБР и кадмия в донных отложениях на содержание тяжелых металлов и мышьяка использовались атомно-абсорбционные спектрофотометры АА-860 («NIPPON JARRELL ASH», Япония) и МГА-915МД (НПО «ЛЮМЭКС», Россия).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Для определения концентрации ртути в воде, донных отложениях и ВБР использовался а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нализатор ртути РА-915М с приставкой РП-92 (Россия, ООО «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Люмэкс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-маркетинг»).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анализа проб донных отложений на содержание тяжелых металлов (кроме кадмия и ртути) использовался аппарат рентгеновский для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спектрального анализа «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Спектроскан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-Макс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JVM</w:t>
      </w:r>
      <w:r w:rsidRPr="00AA61C8">
        <w:rPr>
          <w:rFonts w:ascii="Times New Roman" w:eastAsia="SimSun" w:hAnsi="Times New Roman" w:cs="Times New Roman"/>
          <w:sz w:val="28"/>
          <w:szCs w:val="28"/>
        </w:rPr>
        <w:t>» (НПО «ООО СПЕКТРОСКАН», Россия).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Для определения радиологических показателей (цезий-137, стронций-90) в донных отложениях и ВБР использовалась у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становка спектрометрическая МКС-01А "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Мультирад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" в комплекте с блоками детектирования БДКС-63-01А, БДИБ-70-01А, БДКА-70-01А </w:t>
      </w:r>
      <w:r w:rsidRPr="00AA61C8">
        <w:rPr>
          <w:rFonts w:ascii="Times New Roman" w:eastAsia="SimSun" w:hAnsi="Times New Roman" w:cs="Times New Roman"/>
          <w:sz w:val="28"/>
          <w:szCs w:val="28"/>
        </w:rPr>
        <w:t>(Россия, ООО «НТЦ Амплитуда»).</w:t>
      </w:r>
    </w:p>
    <w:p w:rsidR="00402C85" w:rsidRPr="00AA61C8" w:rsidRDefault="00402C85" w:rsidP="00C9121F">
      <w:pPr>
        <w:spacing w:after="0" w:line="360" w:lineRule="auto"/>
        <w:ind w:firstLine="1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оценки уровня общей минерализации воды использовались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аналитические весы 1 класса точности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Pioneer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PA 214 (С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ША, "OHAUS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Europe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").</w:t>
      </w:r>
    </w:p>
    <w:p w:rsidR="00402C85" w:rsidRPr="00AA61C8" w:rsidRDefault="00402C85" w:rsidP="008203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б) краткое описание окружающей среды раков, которая может быть затронута планируемой (намечаемой) хозяйственной и иной деятельностью в результате ее реализации.</w:t>
      </w:r>
    </w:p>
    <w:p w:rsidR="00402C85" w:rsidRPr="00AA61C8" w:rsidRDefault="00402C85" w:rsidP="008203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Физико-географическая характеристика.</w:t>
      </w:r>
    </w:p>
    <w:p w:rsidR="00402C85" w:rsidRPr="00AA61C8" w:rsidRDefault="00402C85" w:rsidP="008203EB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 занимает площадь 100,9 тыс. км², протяженность ее с севера на юг почти 476 км и с запада на восток 456 км. Водная поверхность многочисленных рек и водохранилищ составляет 285 тыс. га.</w:t>
      </w:r>
    </w:p>
    <w:p w:rsidR="00402C85" w:rsidRPr="00AA61C8" w:rsidRDefault="00402C85" w:rsidP="008203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территории Ростовской области характерен умеренно-континентальный и континентальный климат умеренного пояса. Зима обычно пасмурная, умеренно мягкая, малоснежная и ветреная. Лето ветреное, сухое и жаркое. Континентальные черты в климате Ростовской области усиливаются в направлении с северо-запада территории на юго-восток, что объясняется влиянием на западе бассейнов Черного и Азовского морей. С продвижением на восток возрастают засушливость, жара, усиливаются ветреность, холода зимой.</w:t>
      </w:r>
    </w:p>
    <w:p w:rsidR="00402C85" w:rsidRPr="00AA61C8" w:rsidRDefault="00402C85" w:rsidP="008203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Протяженность русла р. Дон в пределах зоны ответственности Азово-Черноморского филиала ФГБНУ «ВНИРО» («АзНИИРХ») составляет 340 км, площадь водосбора – 167 тыс. км</w:t>
      </w:r>
      <w:proofErr w:type="gramStart"/>
      <w:r w:rsidRPr="00AA61C8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. На этом участке в р. Дон впадают три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крупных притока – Северский Донец, Сал и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Маныч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. Современное русло реки пролегает в мощной толще аллювиальных отложений.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Р. Дон и большая часть ее притоков выработали относительно неглубокие, но широкие долины, заложенные в легко размываемых осадочных породах. В результате спрямления русла р. Дон и миграции русел по пойме образовались многочисленные протоки, затоны, ерики, озера и мочажины. Ширина поймы в нижнем течении колеблется от 15 до 26 км.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Р. Дон образует многорукавную дельту площадью около 340 км</w:t>
      </w:r>
      <w:proofErr w:type="gramStart"/>
      <w:r w:rsidRPr="00AA61C8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Водоносность отдельных рукавов и перераспределение воды между ними непостоянны и меняются в зависимости от сезона, а также в связи со сгонно-нагонными явлениями и дноуглублением, осуществляющимся в интересах судоходства и весьма существенно влияющим на изменение глубины, а также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водообеспеченность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отдельных рукавов.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Р. Дон является водотоком преимущественно со снеговым питанием (</w:t>
      </w:r>
      <w:proofErr w:type="gram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снеговое</w:t>
      </w:r>
      <w:proofErr w:type="gram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67 %, подземное – 30 %, дождевое – 3 %) [Воловик и др., 2008]. На долю дождевых паводков приходится в среднем 2-3 мм слоя стока с максимумом до 5-6 мм. Грунтовые воды обеспечивают водный сток в период летней и зимней межени. Реки левобережья Дона (Сал,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Маныч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) в значительной степени находятся под влиянием интенсивного водозабора на нужды орошения.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Основными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ракопромысловыми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в бассейне р. Сал являются реки Сал,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Куберле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, Кара-Сал,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Джурак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-Сал 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Акшибай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>. Река Сал протекает на юго-востоке Ростовской области. Русло реки извилистое, особенно в своем среднем и нижнем течении. Протяженность ее составляет порядка 800</w:t>
      </w:r>
      <w:r w:rsidRPr="00AA61C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км. Площадь бассейна </w:t>
      </w:r>
      <w:r w:rsidRPr="00AA61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21,3 тыс. км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>. Средний расход воды – 9</w:t>
      </w:r>
      <w:r w:rsidRPr="00AA61C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Исток реки Сал находится на западных склонах возвышенности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Ергени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в Республике Калмыкия на границе с Ростовской областью. Верховья реки на протяжении 180 км до впадения реки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Кара-Сал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известны под названием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Джурак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-Сал.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Кара-Сал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Джурак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-Сал имеют небольшую скорость течения,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lastRenderedPageBreak/>
        <w:t>отдельные участки заболочены. В летний период в засушливые годы значительные участки рек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Джурак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-Сал,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Кара-Сал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Акшибай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пересыхают. Главные притоки р. Сал: правый – Кара-Сал, левые – Большой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Гашун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Куберле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Куберле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>. В среднем течении р. Сал имеет подпитку водой из Цимлянского водохранилища по Донскому магистральному каналу. Замерзает в середине декабря, ледостав неустойчивый, в редкие суровые зимы в верховьях перемерзает. Половодье в марте – апреле быстротечное, в отдельные годы после снежных зим с большим подъёмом уровня воды.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Природно-климатическая</w:t>
      </w:r>
      <w:r w:rsidRPr="00AA61C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  <w:lang w:eastAsia="ru-RU"/>
        </w:rPr>
        <w:t xml:space="preserve"> характеристика.</w:t>
      </w:r>
    </w:p>
    <w:p w:rsidR="00402C85" w:rsidRPr="00AA61C8" w:rsidRDefault="00402C85" w:rsidP="00C912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</w:pP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Формирование гидрологического режима водоемов Ростовской области в современный период происходит под влиянием неблагоприятных климатических условий в виде сочетания нескольких факторов: повышение зимних температур воздуха, уменьшение количества твердых осадков, снижение </w:t>
      </w:r>
      <w:proofErr w:type="spell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снегозапаса</w:t>
      </w:r>
      <w:proofErr w:type="spellEnd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, недостаточное увлажнение почвы, связанное с повышением температуры в летне-осенний период. Это способствует росту потерь весеннего стока и потерь на испарение, в комплексе определяющих дефицит водных </w:t>
      </w:r>
      <w:proofErr w:type="gram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ресурсов</w:t>
      </w:r>
      <w:proofErr w:type="gramEnd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 как в сезонном, так и в многолетнем разрезе [</w:t>
      </w:r>
      <w:proofErr w:type="spell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Джамалов</w:t>
      </w:r>
      <w:proofErr w:type="spellEnd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 и др., 2017]. </w:t>
      </w:r>
    </w:p>
    <w:p w:rsidR="00402C85" w:rsidRPr="00AA61C8" w:rsidRDefault="00402C85" w:rsidP="00C9121F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В целом 2023 г</w:t>
      </w:r>
      <w:r w:rsidR="00E93680"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.</w:t>
      </w: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 характеризовался сравнительно теплой</w:t>
      </w: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зимой, достаточно увлажненными весенним и летним периодами, прохладной с осадками осенью. Среднее количество </w:t>
      </w:r>
      <w:r w:rsidRPr="00AA61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осадков в среднем за год в г. Ростов-на-Дону выпало от </w:t>
      </w:r>
      <w:r w:rsidRPr="00AA61C8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11</w:t>
      </w:r>
      <w:r w:rsidRPr="00AA61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до </w:t>
      </w:r>
      <w:r w:rsidRPr="00AA61C8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143</w:t>
      </w:r>
      <w:r w:rsidRPr="00AA61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мм, в г. Волгоград от 6 до 84 мм</w:t>
      </w:r>
      <w:r w:rsidR="0016190C" w:rsidRPr="00AA61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(таблица 1)</w:t>
      </w:r>
      <w:r w:rsidRPr="00AA61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</w:p>
    <w:p w:rsidR="00402C85" w:rsidRPr="00AA61C8" w:rsidRDefault="00402C85" w:rsidP="00475C45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суточная температура воздуха в Ростове-на-Дону и Волгограде колебалась соответственно от 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-1,7</w:t>
      </w:r>
      <w:proofErr w:type="gramStart"/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ºС</w:t>
      </w:r>
      <w:proofErr w:type="gramEnd"/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(январь)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 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25,5 ºС (август) и от -6,7ºС (январь) до 25,5 ºС (август)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(таблица </w:t>
      </w:r>
      <w:r w:rsidR="0016190C" w:rsidRPr="00AA61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8203EB" w:rsidRPr="00AA61C8" w:rsidRDefault="008203EB" w:rsidP="00475C45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402C85" w:rsidRPr="00AA61C8" w:rsidRDefault="00402C85" w:rsidP="00C912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Таблица 1 – Средние месячные количества осадков по данным метеостанции г. Ростов-на-Дону и г. Волгоград в 2023 г., </w:t>
      </w:r>
      <w:proofErr w:type="gram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мм</w:t>
      </w:r>
      <w:proofErr w:type="gramEnd"/>
    </w:p>
    <w:tbl>
      <w:tblPr>
        <w:tblW w:w="954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05"/>
        <w:gridCol w:w="4434"/>
        <w:gridCol w:w="2701"/>
      </w:tblGrid>
      <w:tr w:rsidR="00402C85" w:rsidRPr="00AA61C8" w:rsidTr="008203EB">
        <w:trPr>
          <w:trHeight w:val="28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lastRenderedPageBreak/>
              <w:t>Месяц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Ростов-на-Дону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</w:t>
            </w:r>
          </w:p>
        </w:tc>
      </w:tr>
      <w:tr w:rsidR="00402C85" w:rsidRPr="00AA61C8" w:rsidTr="008203EB">
        <w:trPr>
          <w:trHeight w:val="29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02C85" w:rsidRPr="00AA61C8" w:rsidTr="008203EB">
        <w:trPr>
          <w:trHeight w:val="37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XII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</w:tbl>
    <w:p w:rsidR="00402C85" w:rsidRPr="00AA61C8" w:rsidRDefault="00402C85" w:rsidP="00820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402C85" w:rsidRPr="00AA61C8" w:rsidRDefault="00402C85" w:rsidP="00C912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Таблица 2 – Средние месячные характеристики температуры воздуха и воды, по данным метеостанции г. Ростов-на-Дону и г. Волгоград в 2023 г.</w:t>
      </w:r>
    </w:p>
    <w:tbl>
      <w:tblPr>
        <w:tblW w:w="954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55"/>
        <w:gridCol w:w="2678"/>
        <w:gridCol w:w="2566"/>
        <w:gridCol w:w="2741"/>
      </w:tblGrid>
      <w:tr w:rsidR="00402C85" w:rsidRPr="00AA61C8" w:rsidTr="008203EB">
        <w:trPr>
          <w:trHeight w:val="113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Ростов-на-Дону, 2023 г.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Волгоград, 2023 г.</w:t>
            </w:r>
          </w:p>
        </w:tc>
      </w:tr>
      <w:tr w:rsidR="00402C85" w:rsidRPr="00AA61C8" w:rsidTr="008203EB">
        <w:trPr>
          <w:trHeight w:val="315"/>
          <w:jc w:val="center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ср. мес. температура воздуха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ср. мес. температура воды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ср. мес. температура воздуха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-1,7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-6,7</w:t>
            </w:r>
          </w:p>
        </w:tc>
      </w:tr>
      <w:tr w:rsidR="00402C85" w:rsidRPr="00AA61C8" w:rsidTr="008203EB">
        <w:trPr>
          <w:trHeight w:val="49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-1,4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-5,2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6,1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11,0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16,6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21,2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25,6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24,1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VIII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26,6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25,5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IX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21,4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17,5</w:t>
            </w:r>
          </w:p>
        </w:tc>
      </w:tr>
      <w:tr w:rsidR="00402C85" w:rsidRPr="00AA61C8" w:rsidTr="008203EB">
        <w:trPr>
          <w:trHeight w:val="3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X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12,3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10,1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5,7</w:t>
            </w:r>
          </w:p>
        </w:tc>
      </w:tr>
      <w:tr w:rsidR="00402C85" w:rsidRPr="00AA61C8" w:rsidTr="008203EB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XII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2C85" w:rsidRPr="00AA61C8" w:rsidRDefault="00402C85" w:rsidP="008203E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sz w:val="28"/>
                <w:szCs w:val="28"/>
              </w:rPr>
              <w:t>-1,5</w:t>
            </w:r>
          </w:p>
        </w:tc>
      </w:tr>
    </w:tbl>
    <w:p w:rsidR="00402C85" w:rsidRPr="00AA61C8" w:rsidRDefault="00402C85" w:rsidP="00820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pacing w:val="-4"/>
          <w:sz w:val="28"/>
          <w:szCs w:val="28"/>
          <w:lang w:eastAsia="ru-RU"/>
        </w:rPr>
      </w:pPr>
    </w:p>
    <w:p w:rsidR="00402C85" w:rsidRPr="00AA61C8" w:rsidRDefault="00402C85" w:rsidP="00C9121F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января, феврале на водных объектах отмечался ледостав. Во времена оттепелей (вторая декада января) мощность ледовых образований снижалась. </w:t>
      </w:r>
    </w:p>
    <w:p w:rsidR="00402C85" w:rsidRPr="00AA61C8" w:rsidRDefault="00402C85" w:rsidP="00C9121F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Весеннее половодье в регионе формировалось в условиях отсутствия устойчивого снежного покрова и незначительного промерзания почвы.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Гидрохимическая характеристика.</w:t>
      </w:r>
    </w:p>
    <w:p w:rsidR="00402C85" w:rsidRPr="00AA61C8" w:rsidRDefault="00402C85" w:rsidP="00475C4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Содержание растворенного кислорода, регламентирующее жизнедеятельность гидробионтов, в двух сезонах 2023 г. не снижалось ниже рыбохозяйственного норматива 6,0 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изменялось в диапазоне величин 6,5-12,2 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(таблица 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402C85" w:rsidRPr="00AA61C8" w:rsidRDefault="00402C85" w:rsidP="00C9121F">
      <w:pPr>
        <w:spacing w:after="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158195688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3 –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Гидрохимические показатели в воде Нижнего Дона в 2023 г.</w:t>
      </w:r>
    </w:p>
    <w:p w:rsidR="00402C85" w:rsidRPr="00AA61C8" w:rsidRDefault="00402C85" w:rsidP="00C9121F">
      <w:pPr>
        <w:spacing w:after="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10"/>
        <w:tblW w:w="0" w:type="auto"/>
        <w:tblLayout w:type="fixed"/>
        <w:tblLook w:val="04A0" w:firstRow="1" w:lastRow="0" w:firstColumn="1" w:lastColumn="0" w:noHBand="0" w:noVBand="1"/>
      </w:tblPr>
      <w:tblGrid>
        <w:gridCol w:w="862"/>
        <w:gridCol w:w="976"/>
        <w:gridCol w:w="1418"/>
        <w:gridCol w:w="1417"/>
        <w:gridCol w:w="1134"/>
        <w:gridCol w:w="1134"/>
        <w:gridCol w:w="1134"/>
        <w:gridCol w:w="1270"/>
      </w:tblGrid>
      <w:tr w:rsidR="00402C85" w:rsidRPr="00AA61C8" w:rsidTr="008203EB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Период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Растворенный кислород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Аммонийный азот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Нитратный азот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Общая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минерализация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Взвешенное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вещество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Азот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общий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Фосфор общий</w:t>
            </w:r>
          </w:p>
        </w:tc>
      </w:tr>
      <w:tr w:rsidR="00402C85" w:rsidRPr="00AA61C8" w:rsidTr="00402C85"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4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мг/дм</w:t>
            </w:r>
            <w:r w:rsidRPr="00AA61C8">
              <w:rPr>
                <w:rFonts w:ascii="Times New Roman" w:eastAsia="Times New Roman" w:hAnsi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02C85" w:rsidRPr="00AA61C8" w:rsidTr="008203EB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2023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10,3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6,8-12,2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0,145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0,093-0,215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0,133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0,065-0,200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650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410-860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15-44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1,15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0,96-1,44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0,140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0,111-0,183</w:t>
            </w:r>
          </w:p>
        </w:tc>
      </w:tr>
      <w:tr w:rsidR="00402C85" w:rsidRPr="00AA61C8" w:rsidTr="008203EB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Среднемн</w:t>
            </w: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оголетнее</w:t>
            </w:r>
            <w:proofErr w:type="gramEnd"/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 xml:space="preserve"> (май)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9,7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0,062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0,140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1,04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0,120</w:t>
            </w:r>
          </w:p>
        </w:tc>
      </w:tr>
      <w:tr w:rsidR="00402C85" w:rsidRPr="00AA61C8" w:rsidTr="008203EB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2023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7,7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6,5-9,7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0,106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0,062-0,160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0,146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0,030-0,290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800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648-1030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6-22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1,04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0,88-1,11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0,097</w:t>
            </w:r>
          </w:p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0,050-0,156</w:t>
            </w:r>
          </w:p>
        </w:tc>
      </w:tr>
      <w:tr w:rsidR="00402C85" w:rsidRPr="00AA61C8" w:rsidTr="008203EB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>Среднемноголетнее</w:t>
            </w:r>
            <w:proofErr w:type="gramEnd"/>
            <w:r w:rsidRPr="00AA61C8">
              <w:rPr>
                <w:rFonts w:ascii="Times New Roman" w:eastAsia="Times New Roman" w:hAnsi="Times New Roman"/>
                <w:sz w:val="28"/>
                <w:szCs w:val="28"/>
              </w:rPr>
              <w:t xml:space="preserve"> (август)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0,045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0,310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1,29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sz w:val="28"/>
                <w:szCs w:val="28"/>
              </w:rPr>
              <w:t>0,150</w:t>
            </w:r>
          </w:p>
        </w:tc>
      </w:tr>
      <w:tr w:rsidR="00402C85" w:rsidRPr="00AA61C8" w:rsidTr="008203EB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ПДКр</w:t>
            </w:r>
            <w:proofErr w:type="spellEnd"/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/х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&lt;6,0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0,400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line="360" w:lineRule="auto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A61C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-</w:t>
            </w:r>
          </w:p>
        </w:tc>
      </w:tr>
    </w:tbl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6"/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В сезонном аспекте содержание кислорода в среднем по акватории достигало максимума весной (10,3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) в зависимости от стока р. Дон и оказалось выше среднемноголетнего значения (9,7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). Снижение содержания растворенного кислорода летом до 7,7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в среднем по исследуемой акватории относительно весны и среднемноголетнего 10,0 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происходило на фоне уменьшения скоростного режима реки и увеличения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деструкционных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процессов при токсическом цветении сине-зеленых водорослей.  </w:t>
      </w:r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Динамика минерального азота на акватории р. Дон зависела от стока, влияние которого выразилось в росте содержания нитратного азота в среднем по акватории 0,133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для весеннего периода при среднемноголетнем значении равному 0,140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. При мощном цветении сине-зеленых водорослей в летний период среднее содержание нитратного азота на исследуемой акватории р. Дон соответствовало 0,146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, что в два раза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lastRenderedPageBreak/>
        <w:t>ниже относительно среднемноголетнего значения равного 0,310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3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(таблица 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В пространственном распределении минерального азота в обоих сезонах можно выделить антропогенное влияние городских очистных сооружений городов Семикаракорск и Ростов-на-Дону, а также поступление с притоками р. Сал и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Темерник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Основным поставщиком взвешенного вещества и регулятором минерализации в 2023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г. явился сток реки Дон, благодаря которому весной количество взвеси в 1,4 раза превышало, а минерализация в 1,2 раза снижалась относительно среднемноголетних значений. В летний период оба показателя близки к фоновым показателям (таблица 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Наибольшее количество взвешенного вещества весной 2023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г. поступало с водами р.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Темерник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городской канализацией Ростова-на-Дону. В дельте, протока Мокрая Каланча, весной отмечалось обогащение органогенным веществом взвесью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детритной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массы. Основным источником высоко минерализованных вод в течение 2023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г. являлся приток р. Сал. </w:t>
      </w:r>
    </w:p>
    <w:p w:rsidR="00402C85" w:rsidRPr="00AA61C8" w:rsidRDefault="00402C85" w:rsidP="00C9121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Влияние донского стока весной определило в среднем по акватории концентрации общего азота 1,15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фосфора 0,140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, что приближенно к среднемноголетнему уровню 1,04 и 0,120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 (</w:t>
      </w:r>
      <w:r w:rsidR="006132F4" w:rsidRPr="00AA61C8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104EEC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203EB" w:rsidRPr="00AA61C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). Преобладание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деструкционных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над продукционными процессами в летний период выразилось в снижении азот- и фосфорсодержащего органического вещества в среднем по акватории ниже среднемноголетних характеристик. </w:t>
      </w:r>
    </w:p>
    <w:p w:rsidR="00402C85" w:rsidRPr="00AA61C8" w:rsidRDefault="00402C85" w:rsidP="00C9121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В пространственном распределении общего азота отчетливо проявляются створы с антропогенной биогенной нагрузкой. К ним относятся:</w:t>
      </w:r>
    </w:p>
    <w:p w:rsidR="00402C85" w:rsidRPr="00AA61C8" w:rsidRDefault="00402C85" w:rsidP="00C9121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-  очистные сооружения г.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Семикаракорска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городская канализация Ростова-на-Дону;</w:t>
      </w:r>
    </w:p>
    <w:p w:rsidR="00402C85" w:rsidRPr="00AA61C8" w:rsidRDefault="00402C85" w:rsidP="00C9121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-  притоки р. Сал,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Темерник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>, р. Аксай;</w:t>
      </w:r>
    </w:p>
    <w:p w:rsidR="00402C85" w:rsidRPr="00AA61C8" w:rsidRDefault="00402C85" w:rsidP="00C9121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-  в дельте преобладали продукционные процессы.</w:t>
      </w:r>
    </w:p>
    <w:p w:rsidR="00402C85" w:rsidRPr="00AA61C8" w:rsidRDefault="00402C85" w:rsidP="00C9121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lastRenderedPageBreak/>
        <w:t>Наибольшее количество общего фосфора поставляли канализационные стоки г.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Семикаракорска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городская канализация Ростова-на-Дону, а также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Темерник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и р. Аксай. В дельте повышенное содержание общего фосфора формировалось при первичном продуцировании. </w:t>
      </w:r>
    </w:p>
    <w:p w:rsidR="00402C85" w:rsidRPr="00AA61C8" w:rsidRDefault="00402C85" w:rsidP="00454B3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Таким образом, на исследуемом участке акватории Нижнего Дона гидрохимическая характеристика воды в 2023</w:t>
      </w:r>
      <w:r w:rsidR="00104EEC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г. характеризовалась благоприятным кислородным режимом. Концентрации в воде минеральных форм азота не превышали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, установленные для водных объектов рыбохозяйственного значения. Содержание взвешенных веществ и общей минерализации в воде соответствовали сре</w:t>
      </w:r>
      <w:r w:rsidR="00454B34" w:rsidRPr="00AA61C8">
        <w:rPr>
          <w:rFonts w:ascii="Times New Roman" w:eastAsia="Times New Roman" w:hAnsi="Times New Roman" w:cs="Times New Roman"/>
          <w:sz w:val="28"/>
          <w:szCs w:val="28"/>
        </w:rPr>
        <w:t xml:space="preserve">днемноголетним фоновым данным. </w:t>
      </w:r>
    </w:p>
    <w:p w:rsidR="00402C85" w:rsidRPr="00AA61C8" w:rsidRDefault="00402C85" w:rsidP="00C912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</w:rPr>
        <w:t>р. Сал</w:t>
      </w:r>
    </w:p>
    <w:p w:rsidR="00402C85" w:rsidRPr="00AA61C8" w:rsidRDefault="00402C85" w:rsidP="00C912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</w:rPr>
        <w:t>На акватории р. Сал в 2023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г. была отобрана одна проба воды на определение содержания общей минерализации воды. По результатам анализа установлено, что величина общей минерализации воды на акватории р. Сал соответствует 4296</w:t>
      </w:r>
      <w:r w:rsidR="00104EEC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, что ниже проведенного в летний период 2022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г. гидрохимического анализа исследуемой акватории (6100 мг/дм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02C85" w:rsidRPr="00AA61C8" w:rsidRDefault="00402C85" w:rsidP="00C912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Токсикологическая характеристика.</w:t>
      </w:r>
    </w:p>
    <w:p w:rsidR="008C5300" w:rsidRPr="00AA61C8" w:rsidRDefault="008C5300" w:rsidP="008C530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с целью определения уровня загрязнения приоритетными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токсикантами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и донных отложений выполнялись в рамках государственной работы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«Осуществление государственного мониторинга водных биологических ресурсов (</w:t>
      </w:r>
      <w:r w:rsidRPr="00AA61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 внутренних водах Российской Федерации, за исключением внутренних морских вод Российской Федерации)» (часть II, раздел 6 государственного задания ФГБНУ «ВНИРО» №076-00004-23-00,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предусматривающей оформление актов отбора проб и выдачу протоколов количественного химического анализа.</w:t>
      </w:r>
      <w:proofErr w:type="gramEnd"/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iCs/>
          <w:sz w:val="28"/>
          <w:szCs w:val="28"/>
          <w:lang w:eastAsia="ru-RU"/>
        </w:rPr>
      </w:pPr>
      <w:r w:rsidRPr="00AA61C8">
        <w:rPr>
          <w:rFonts w:ascii="Times New Roman" w:eastAsia="TimesNewRomanPSMT" w:hAnsi="Times New Roman" w:cs="Times New Roman"/>
          <w:iCs/>
          <w:sz w:val="28"/>
          <w:szCs w:val="28"/>
          <w:lang w:eastAsia="ru-RU"/>
        </w:rPr>
        <w:t>На качество воды</w:t>
      </w:r>
      <w:r w:rsidRPr="00AA61C8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 Нижнего Дона </w:t>
      </w:r>
      <w:r w:rsidRPr="00AA61C8">
        <w:rPr>
          <w:rFonts w:ascii="Times New Roman" w:eastAsia="TimesNewRomanPSMT" w:hAnsi="Times New Roman" w:cs="Times New Roman"/>
          <w:iCs/>
          <w:sz w:val="28"/>
          <w:szCs w:val="28"/>
          <w:lang w:eastAsia="ru-RU"/>
        </w:rPr>
        <w:t>наиболее значительное</w:t>
      </w:r>
      <w:r w:rsidRPr="00AA61C8">
        <w:rPr>
          <w:rFonts w:ascii="Times New Roman" w:eastAsia="TimesNewRomanPSMT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NewRomanPSMT" w:hAnsi="Times New Roman" w:cs="Times New Roman"/>
          <w:iCs/>
          <w:sz w:val="28"/>
          <w:szCs w:val="28"/>
          <w:lang w:eastAsia="ru-RU"/>
        </w:rPr>
        <w:t>влияние оказывают интенсивное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NewRomanPSMT" w:hAnsi="Times New Roman" w:cs="Times New Roman"/>
          <w:iCs/>
          <w:sz w:val="28"/>
          <w:szCs w:val="28"/>
          <w:lang w:eastAsia="ru-RU"/>
        </w:rPr>
        <w:t>судоходство и маломерный флот, сточные воды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NewRomanPSMT" w:hAnsi="Times New Roman" w:cs="Times New Roman"/>
          <w:iCs/>
          <w:sz w:val="28"/>
          <w:szCs w:val="28"/>
          <w:lang w:eastAsia="ru-RU"/>
        </w:rPr>
        <w:lastRenderedPageBreak/>
        <w:t>предприятий жилищно-коммунального, рыбного и сельского хозяйства, автомобильной, химической промышленности, а также неорганизованные стоки с сельхозугодий.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исследуемом участке р. Дон в весенней и летний периоды 2023 г. отобрано и проанализировано по 16 проб воды и донных отложений.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Пробы отбирались на станциях, расположенных от района ст. Романовской до рук. Мокрая Каланча.</w:t>
      </w:r>
    </w:p>
    <w:p w:rsidR="00402C85" w:rsidRPr="00AA61C8" w:rsidRDefault="00402C85" w:rsidP="00C9121F">
      <w:pPr>
        <w:tabs>
          <w:tab w:val="left" w:pos="93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оба сезона наблюдений концентрации нефтепродуктов превышали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3-х раз практически на всех станциях наблюдения (кроме района выпуска канализации г.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Ростова-на-Дону). Соотношение биогенных и антропогенных углеводородов было примерно равным, что указывает на присутствие в пробах воды нефтепродуктов как природного, так и антропогенного происхождения. В донных отложениях повышенные концентрации нефтепродуктов зафиксированы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рук. Каланча (2,08</w:t>
      </w:r>
      <w:r w:rsidR="00104EEC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г/кг) и очень высокие – в устье р.</w:t>
      </w:r>
      <w:r w:rsidR="008B39A6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Темерник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(до 25</w:t>
      </w:r>
      <w:r w:rsidR="00104EEC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г/кг). В данных пробах преобладали стойкие к процессам деградации смолистые вещества, являющиеся признаком хронического нефтяного загрязнения. В свою очередь, х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роническое воздействие повышенных концентраций нефтепродуктов на донные биоценозы может негативно сказаться на их нормальном функционировании и привести к проблемам с питанием донных видов рыб. Это касается локальных участков, а на большей части обследованной акватории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нефтепродуктов в донных отложениях находилось в диапазоне от 0,02 до 1,02</w:t>
      </w:r>
      <w:r w:rsidR="00104EEC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г/кг сухой массы. В целом, в течение 5-и последних лет проблема нефтяного загрязнения Нижнего Дона продолжает оставаться актуальной.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Концентрации нефтепродуктов, превышающие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фиксируются в воде ежегодно.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В период с 2019</w:t>
      </w:r>
      <w:r w:rsidR="00104EEC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г. по 2023</w:t>
      </w:r>
      <w:r w:rsidR="00104EEC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г. уровень загрязнения воды в среднем различался незначительно (0,03</w:t>
      </w:r>
      <w:r w:rsidR="00104EE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0,07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мг/дм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) с минимальным показателем в 2023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Содержание нефтепродуктов в донных отложениях в среднем варьировало в более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широком диапазоне (0,17</w:t>
      </w:r>
      <w:r w:rsidR="00104EE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3,44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г/кг), данные 2023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не вышли за граничные показатели (таблица 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 </w:t>
      </w:r>
      <w:proofErr w:type="gramEnd"/>
    </w:p>
    <w:p w:rsidR="00402C85" w:rsidRPr="00AA61C8" w:rsidRDefault="00402C85" w:rsidP="00C9121F">
      <w:pPr>
        <w:spacing w:after="0" w:line="360" w:lineRule="auto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Таблица </w:t>
      </w:r>
      <w:r w:rsidR="00093055" w:rsidRPr="00AA61C8">
        <w:rPr>
          <w:rFonts w:ascii="Times New Roman" w:eastAsia="SimSun" w:hAnsi="Times New Roman" w:cs="Times New Roman"/>
          <w:sz w:val="28"/>
          <w:szCs w:val="28"/>
        </w:rPr>
        <w:t xml:space="preserve">4 – </w:t>
      </w:r>
      <w:r w:rsidRPr="00AA61C8">
        <w:rPr>
          <w:rFonts w:ascii="Times New Roman" w:eastAsia="SimSun" w:hAnsi="Times New Roman" w:cs="Times New Roman"/>
          <w:iCs/>
          <w:sz w:val="28"/>
          <w:szCs w:val="28"/>
        </w:rPr>
        <w:t>Загрязнение воды и донных отложений Нижнего Дона нефтепродуктами в период 2019–2023</w:t>
      </w:r>
      <w:r w:rsidR="00104EEC" w:rsidRPr="00AA61C8">
        <w:rPr>
          <w:rFonts w:ascii="Times New Roman" w:eastAsia="SimSun" w:hAnsi="Times New Roman" w:cs="Times New Roman"/>
          <w:iCs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iCs/>
          <w:sz w:val="28"/>
          <w:szCs w:val="28"/>
        </w:rPr>
        <w:t>гг.</w:t>
      </w:r>
    </w:p>
    <w:p w:rsidR="00402C85" w:rsidRPr="00AA61C8" w:rsidRDefault="00402C85" w:rsidP="00C9121F">
      <w:pPr>
        <w:spacing w:after="0" w:line="360" w:lineRule="auto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0"/>
        <w:gridCol w:w="1878"/>
        <w:gridCol w:w="1813"/>
        <w:gridCol w:w="2226"/>
        <w:gridCol w:w="2224"/>
      </w:tblGrid>
      <w:tr w:rsidR="00402C85" w:rsidRPr="00AA61C8" w:rsidTr="00402C85">
        <w:trPr>
          <w:jc w:val="center"/>
        </w:trPr>
        <w:tc>
          <w:tcPr>
            <w:tcW w:w="747" w:type="pct"/>
            <w:vMerge w:val="restar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928" w:type="pct"/>
            <w:gridSpan w:val="2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Вода, мг/дм</w:t>
            </w: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325" w:type="pct"/>
            <w:gridSpan w:val="2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Донные отложения, </w:t>
            </w:r>
            <w:proofErr w:type="gramStart"/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proofErr w:type="gramEnd"/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/кг сухой массы</w:t>
            </w:r>
          </w:p>
        </w:tc>
      </w:tr>
      <w:tr w:rsidR="00402C85" w:rsidRPr="00AA61C8" w:rsidTr="00402C85">
        <w:trPr>
          <w:trHeight w:val="141"/>
          <w:jc w:val="center"/>
        </w:trPr>
        <w:tc>
          <w:tcPr>
            <w:tcW w:w="747" w:type="pct"/>
            <w:vMerge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8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среднее</w:t>
            </w:r>
          </w:p>
        </w:tc>
        <w:tc>
          <w:tcPr>
            <w:tcW w:w="94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диапазон</w:t>
            </w:r>
          </w:p>
        </w:tc>
        <w:tc>
          <w:tcPr>
            <w:tcW w:w="116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среднее</w:t>
            </w:r>
          </w:p>
        </w:tc>
        <w:tc>
          <w:tcPr>
            <w:tcW w:w="116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диапазон</w:t>
            </w:r>
          </w:p>
        </w:tc>
      </w:tr>
      <w:tr w:rsidR="00402C85" w:rsidRPr="00AA61C8" w:rsidTr="00402C85">
        <w:trPr>
          <w:jc w:val="center"/>
        </w:trPr>
        <w:tc>
          <w:tcPr>
            <w:tcW w:w="74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8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947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&lt;0,02</w:t>
            </w:r>
            <w:r w:rsidR="008B39A6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0,11</w:t>
            </w:r>
          </w:p>
        </w:tc>
        <w:tc>
          <w:tcPr>
            <w:tcW w:w="116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1,58</w:t>
            </w:r>
          </w:p>
        </w:tc>
        <w:tc>
          <w:tcPr>
            <w:tcW w:w="1162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&lt;0,015</w:t>
            </w:r>
            <w:r w:rsidR="008B39A6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</w:t>
            </w:r>
          </w:p>
        </w:tc>
      </w:tr>
      <w:tr w:rsidR="00402C85" w:rsidRPr="00AA61C8" w:rsidTr="00402C85">
        <w:trPr>
          <w:jc w:val="center"/>
        </w:trPr>
        <w:tc>
          <w:tcPr>
            <w:tcW w:w="74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8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947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&lt;0,02</w:t>
            </w:r>
            <w:r w:rsidR="008B39A6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16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1,54</w:t>
            </w:r>
          </w:p>
        </w:tc>
        <w:tc>
          <w:tcPr>
            <w:tcW w:w="1162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&lt;0,015–14,9</w:t>
            </w:r>
          </w:p>
        </w:tc>
      </w:tr>
      <w:tr w:rsidR="00402C85" w:rsidRPr="00AA61C8" w:rsidTr="00402C85">
        <w:trPr>
          <w:jc w:val="center"/>
        </w:trPr>
        <w:tc>
          <w:tcPr>
            <w:tcW w:w="74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8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947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</w:t>
            </w:r>
            <w:r w:rsidR="008B39A6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0,14</w:t>
            </w:r>
          </w:p>
        </w:tc>
        <w:tc>
          <w:tcPr>
            <w:tcW w:w="116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3,44</w:t>
            </w:r>
          </w:p>
        </w:tc>
        <w:tc>
          <w:tcPr>
            <w:tcW w:w="1162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0,23–11,24</w:t>
            </w:r>
          </w:p>
        </w:tc>
      </w:tr>
      <w:tr w:rsidR="00402C85" w:rsidRPr="00AA61C8" w:rsidTr="00402C85">
        <w:trPr>
          <w:jc w:val="center"/>
        </w:trPr>
        <w:tc>
          <w:tcPr>
            <w:tcW w:w="74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8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947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="0099608F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62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&lt;0,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5–0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76</w:t>
            </w:r>
          </w:p>
        </w:tc>
      </w:tr>
      <w:tr w:rsidR="00402C85" w:rsidRPr="00AA61C8" w:rsidTr="00402C85">
        <w:trPr>
          <w:jc w:val="center"/>
        </w:trPr>
        <w:tc>
          <w:tcPr>
            <w:tcW w:w="74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98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47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&lt;0,02</w:t>
            </w:r>
            <w:r w:rsidR="008B39A6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16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2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0,02–24,99</w:t>
            </w:r>
          </w:p>
        </w:tc>
      </w:tr>
      <w:tr w:rsidR="00402C85" w:rsidRPr="00AA61C8" w:rsidTr="00402C85">
        <w:trPr>
          <w:jc w:val="center"/>
        </w:trPr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ПДК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End"/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</w:rPr>
              <w:t>/х</w:t>
            </w:r>
          </w:p>
        </w:tc>
        <w:tc>
          <w:tcPr>
            <w:tcW w:w="1928" w:type="pct"/>
            <w:gridSpan w:val="2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2325" w:type="pct"/>
            <w:gridSpan w:val="2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402C85" w:rsidRPr="00AA61C8" w:rsidRDefault="00402C85" w:rsidP="00C9121F">
      <w:pPr>
        <w:tabs>
          <w:tab w:val="left" w:pos="93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02C85" w:rsidRPr="00AA61C8" w:rsidRDefault="00402C85" w:rsidP="00C9121F">
      <w:pPr>
        <w:tabs>
          <w:tab w:val="left" w:pos="93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Из стойких ХОП обнаружены метаболиты препарата ДДТ 2,4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′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-ДДЕ и 4,4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′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-ДДЕ в низкой концентрации: в воде </w:t>
      </w:r>
      <w:r w:rsidR="00104EE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1,2</w:t>
      </w:r>
      <w:r w:rsidR="00104EEC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нг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/л (ниже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), в донных отложениях (только в устье р.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Темерник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– 1,0 мкг/кг сухой массы. Т.е., загрязнение обследованной акватории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стойкими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ХОП сохраняется остаточным. ПХБ в воде и донных отложениях не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найдены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Очевидно, что загрязнение акватории Нижнего Дона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стойкими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ХОП и ПХБ носит сезонный характер с явным весенним максимумом.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В многолетнем аспекте (2019</w:t>
      </w:r>
      <w:r w:rsidR="00093055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2023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гг.) загрязнение воды и донных отложений стойкими ХОП и ПХБ остается остаточным.</w:t>
      </w:r>
      <w:proofErr w:type="gramEnd"/>
    </w:p>
    <w:p w:rsidR="00402C85" w:rsidRPr="00AA61C8" w:rsidRDefault="00402C85" w:rsidP="00C9121F">
      <w:pPr>
        <w:tabs>
          <w:tab w:val="left" w:pos="93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летний период в пробах воды устьев р. Северский Донец и р. Сал обнаружено превышение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АСПАВ превысили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1,4 раза.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Данный факт указывает на присутствие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недоочищенных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сточных вод, что при негативной гидролого-гидрохимический ситуации в водоёме может привести к снижению поступления кислорода.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остальной период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содержание АСПАВ в донской воде не превысило 0,075</w:t>
      </w:r>
      <w:r w:rsidR="008B39A6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мг/л, что соответствует норме. </w:t>
      </w:r>
    </w:p>
    <w:p w:rsidR="00402C85" w:rsidRPr="00AA61C8" w:rsidRDefault="00402C85" w:rsidP="00C9121F">
      <w:pPr>
        <w:tabs>
          <w:tab w:val="left" w:pos="93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всех пробах воды Нижнего Дона концентрации марганца превышали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2,8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раза, в ряде проб </w:t>
      </w:r>
      <w:r w:rsidR="00093055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железа до 1,5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раза и меди почти 5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раз. Присутствие повышенных концентраций меди, марганца и железа в воде р.</w:t>
      </w:r>
      <w:r w:rsidR="00093055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Дон – обычное явление, особенно в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постпаводковый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период. Это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эссенциальные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металлы, не токсичные для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биоты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Кратность превышения их ПДК не критична для ВБР и при благополучной гидролого-гидрохимической ситуации в водоёме ухудшение качества среды обитания ВБР не последует. Концентрации цинка, хрома, свинца и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никеля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соответствующих рыбохозяйственных нормативов, кадмий, мышьяк и ртуть в воде не найдены.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в 2023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данные по содержанию тяжелых металлов и мышьяка в воде Нижнего Дона в целом соответствуют данным многолетних наблюдений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(таблица</w:t>
      </w:r>
      <w:r w:rsidR="003344C1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</w:p>
    <w:p w:rsidR="00402C85" w:rsidRPr="00AA61C8" w:rsidRDefault="00402C85" w:rsidP="00C9121F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Таблица </w:t>
      </w:r>
      <w:r w:rsidR="003344C1" w:rsidRPr="00AA61C8">
        <w:rPr>
          <w:rFonts w:ascii="Times New Roman" w:eastAsia="SimSun" w:hAnsi="Times New Roman" w:cs="Times New Roman"/>
          <w:sz w:val="28"/>
          <w:szCs w:val="28"/>
        </w:rPr>
        <w:t>5 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Средние концентрации тяжёлых металлов в воде Нижнего Дона в период 2019</w:t>
      </w:r>
      <w:r w:rsidR="003344C1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>202</w:t>
      </w:r>
      <w:r w:rsidR="003344C1" w:rsidRPr="00AA61C8">
        <w:rPr>
          <w:rFonts w:ascii="Times New Roman" w:eastAsia="SimSun" w:hAnsi="Times New Roman" w:cs="Times New Roman"/>
          <w:sz w:val="28"/>
          <w:szCs w:val="28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гг., мкг/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л</w:t>
      </w:r>
      <w:proofErr w:type="gramEnd"/>
    </w:p>
    <w:p w:rsidR="00402C85" w:rsidRPr="00AA61C8" w:rsidRDefault="00402C85" w:rsidP="00C9121F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"/>
        <w:gridCol w:w="852"/>
        <w:gridCol w:w="852"/>
        <w:gridCol w:w="850"/>
        <w:gridCol w:w="851"/>
        <w:gridCol w:w="864"/>
        <w:gridCol w:w="851"/>
        <w:gridCol w:w="864"/>
        <w:gridCol w:w="849"/>
        <w:gridCol w:w="848"/>
        <w:gridCol w:w="864"/>
      </w:tblGrid>
      <w:tr w:rsidR="00402C85" w:rsidRPr="00AA61C8" w:rsidTr="00402C85">
        <w:trPr>
          <w:tblHeader/>
          <w:jc w:val="center"/>
        </w:trPr>
        <w:tc>
          <w:tcPr>
            <w:tcW w:w="506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Fe</w:t>
            </w:r>
          </w:p>
        </w:tc>
        <w:tc>
          <w:tcPr>
            <w:tcW w:w="4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Mn</w:t>
            </w:r>
            <w:proofErr w:type="spellEnd"/>
          </w:p>
        </w:tc>
        <w:tc>
          <w:tcPr>
            <w:tcW w:w="450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Zn</w:t>
            </w:r>
          </w:p>
        </w:tc>
        <w:tc>
          <w:tcPr>
            <w:tcW w:w="450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450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Pb</w:t>
            </w:r>
            <w:proofErr w:type="spellEnd"/>
          </w:p>
        </w:tc>
        <w:tc>
          <w:tcPr>
            <w:tcW w:w="450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450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Cd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Ni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As</w:t>
            </w:r>
          </w:p>
        </w:tc>
        <w:tc>
          <w:tcPr>
            <w:tcW w:w="44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Hg</w:t>
            </w:r>
          </w:p>
        </w:tc>
      </w:tr>
      <w:tr w:rsidR="00402C85" w:rsidRPr="00AA61C8" w:rsidTr="00402C85">
        <w:trPr>
          <w:jc w:val="center"/>
        </w:trPr>
        <w:tc>
          <w:tcPr>
            <w:tcW w:w="506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&lt;0,40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&lt;2,5</w:t>
            </w:r>
          </w:p>
        </w:tc>
        <w:tc>
          <w:tcPr>
            <w:tcW w:w="44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&lt;0,01</w:t>
            </w:r>
          </w:p>
        </w:tc>
      </w:tr>
      <w:tr w:rsidR="00402C85" w:rsidRPr="00AA61C8" w:rsidTr="00402C85">
        <w:trPr>
          <w:jc w:val="center"/>
        </w:trPr>
        <w:tc>
          <w:tcPr>
            <w:tcW w:w="506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82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1,9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44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0,02</w:t>
            </w:r>
          </w:p>
        </w:tc>
      </w:tr>
      <w:tr w:rsidR="00402C85" w:rsidRPr="00AA61C8" w:rsidTr="00402C85">
        <w:trPr>
          <w:jc w:val="center"/>
        </w:trPr>
        <w:tc>
          <w:tcPr>
            <w:tcW w:w="506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1,1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&lt;1,0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&lt;0,10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2,4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&lt;2,5</w:t>
            </w:r>
          </w:p>
        </w:tc>
        <w:tc>
          <w:tcPr>
            <w:tcW w:w="44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0,02</w:t>
            </w:r>
          </w:p>
        </w:tc>
      </w:tr>
      <w:tr w:rsidR="00402C85" w:rsidRPr="00AA61C8" w:rsidTr="00402C85">
        <w:trPr>
          <w:jc w:val="center"/>
        </w:trPr>
        <w:tc>
          <w:tcPr>
            <w:tcW w:w="506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  <w:lang w:val="en-US"/>
              </w:rPr>
              <w:t>33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3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</w:t>
            </w: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  <w:lang w:val="en-US"/>
              </w:rPr>
              <w:t>,2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&lt;1,0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&lt;0,10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&lt;2,5</w:t>
            </w:r>
          </w:p>
        </w:tc>
        <w:tc>
          <w:tcPr>
            <w:tcW w:w="44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0,06</w:t>
            </w:r>
          </w:p>
        </w:tc>
      </w:tr>
      <w:tr w:rsidR="00402C85" w:rsidRPr="00AA61C8" w:rsidTr="00402C85">
        <w:trPr>
          <w:jc w:val="center"/>
        </w:trPr>
        <w:tc>
          <w:tcPr>
            <w:tcW w:w="506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&lt;0,40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&lt;0,10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2,0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44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0,01</w:t>
            </w:r>
          </w:p>
        </w:tc>
      </w:tr>
      <w:tr w:rsidR="00402C85" w:rsidRPr="00AA61C8" w:rsidTr="00402C85">
        <w:trPr>
          <w:jc w:val="center"/>
        </w:trPr>
        <w:tc>
          <w:tcPr>
            <w:tcW w:w="506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ПДК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End"/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</w:rPr>
              <w:t>/х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4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1,0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0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9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8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4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0,01</w:t>
            </w:r>
          </w:p>
        </w:tc>
      </w:tr>
    </w:tbl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C85" w:rsidRPr="00AA61C8" w:rsidRDefault="00402C85" w:rsidP="00C9121F">
      <w:pPr>
        <w:tabs>
          <w:tab w:val="left" w:pos="93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В 2023</w:t>
      </w:r>
      <w:r w:rsidR="003344C1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невысокая удельная активность цезия-137 зафиксирована только в донных осадках устьев р.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Маныч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р.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Темерник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(до 9,36</w:t>
      </w:r>
      <w:r w:rsidR="003344C1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Бк/кг). Содержание мышьяка в донных осадках ниже выпуска городской канализации г. Ростова-на-Дону в летний период локально составило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21</w:t>
      </w:r>
      <w:r w:rsidR="003344C1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мг/кг, на остальных станциях – было невысоким (&lt;0,6-8,0 мг/кг сухой массы). Высоко вероятно, что обнаружение повышенной концентрации мышьяка объясняется именно местом отбора пробы и связано с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недоочисткой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сточных вод, попадающих в канализацию г. Ростов-на-Дону. В целом, полученные в 2023 г. данные по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содержанию большинства тяжелых металлов и мышьяка находилось в границах среднемноголетних показателей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(таблица </w:t>
      </w:r>
      <w:r w:rsidR="003344C1"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</w:p>
    <w:p w:rsidR="00402C85" w:rsidRPr="00AA61C8" w:rsidRDefault="00402C85" w:rsidP="00C9121F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Таблица </w:t>
      </w:r>
      <w:r w:rsidR="003344C1" w:rsidRPr="00AA61C8">
        <w:rPr>
          <w:rFonts w:ascii="Times New Roman" w:eastAsia="SimSun" w:hAnsi="Times New Roman" w:cs="Times New Roman"/>
          <w:sz w:val="28"/>
          <w:szCs w:val="28"/>
        </w:rPr>
        <w:t>6 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Средние концентрации тяжёлых металлов в донных отложениях Нижнего Дона в период 2019</w:t>
      </w:r>
      <w:r w:rsidR="003344C1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>2023 гг., мг/кг сухой массы</w:t>
      </w:r>
    </w:p>
    <w:p w:rsidR="00402C85" w:rsidRPr="00AA61C8" w:rsidRDefault="00402C85" w:rsidP="00C9121F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5"/>
        <w:gridCol w:w="916"/>
        <w:gridCol w:w="868"/>
        <w:gridCol w:w="864"/>
        <w:gridCol w:w="864"/>
        <w:gridCol w:w="866"/>
        <w:gridCol w:w="864"/>
        <w:gridCol w:w="864"/>
        <w:gridCol w:w="866"/>
        <w:gridCol w:w="866"/>
        <w:gridCol w:w="868"/>
      </w:tblGrid>
      <w:tr w:rsidR="00402C85" w:rsidRPr="00AA61C8" w:rsidTr="00402C85">
        <w:trPr>
          <w:tblHeader/>
          <w:jc w:val="center"/>
        </w:trPr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62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Fe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Mn</w:t>
            </w:r>
            <w:proofErr w:type="spellEnd"/>
          </w:p>
        </w:tc>
        <w:tc>
          <w:tcPr>
            <w:tcW w:w="453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Zn</w:t>
            </w:r>
          </w:p>
        </w:tc>
        <w:tc>
          <w:tcPr>
            <w:tcW w:w="453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Pb</w:t>
            </w:r>
            <w:proofErr w:type="spellEnd"/>
          </w:p>
        </w:tc>
        <w:tc>
          <w:tcPr>
            <w:tcW w:w="453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453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Cd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Hg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As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Ni</w:t>
            </w:r>
          </w:p>
        </w:tc>
      </w:tr>
      <w:tr w:rsidR="00402C85" w:rsidRPr="00AA61C8" w:rsidTr="00402C85">
        <w:trPr>
          <w:jc w:val="center"/>
        </w:trPr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6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16178</w:t>
            </w:r>
          </w:p>
        </w:tc>
        <w:tc>
          <w:tcPr>
            <w:tcW w:w="455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517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</w:t>
            </w:r>
          </w:p>
        </w:tc>
      </w:tr>
      <w:tr w:rsidR="00402C85" w:rsidRPr="00AA61C8" w:rsidTr="00402C85">
        <w:trPr>
          <w:jc w:val="center"/>
        </w:trPr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6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9753</w:t>
            </w:r>
          </w:p>
        </w:tc>
        <w:tc>
          <w:tcPr>
            <w:tcW w:w="455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17</w:t>
            </w:r>
          </w:p>
        </w:tc>
      </w:tr>
      <w:tr w:rsidR="00402C85" w:rsidRPr="00AA61C8" w:rsidTr="00402C85">
        <w:trPr>
          <w:jc w:val="center"/>
        </w:trPr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6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18206</w:t>
            </w:r>
          </w:p>
        </w:tc>
        <w:tc>
          <w:tcPr>
            <w:tcW w:w="455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24</w:t>
            </w:r>
          </w:p>
        </w:tc>
      </w:tr>
      <w:tr w:rsidR="00402C85" w:rsidRPr="00AA61C8" w:rsidTr="00402C85">
        <w:trPr>
          <w:jc w:val="center"/>
        </w:trPr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6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9166</w:t>
            </w:r>
          </w:p>
        </w:tc>
        <w:tc>
          <w:tcPr>
            <w:tcW w:w="455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13</w:t>
            </w:r>
          </w:p>
        </w:tc>
      </w:tr>
      <w:tr w:rsidR="00402C85" w:rsidRPr="00AA61C8" w:rsidTr="00402C85">
        <w:trPr>
          <w:jc w:val="center"/>
        </w:trPr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6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16639</w:t>
            </w:r>
          </w:p>
        </w:tc>
        <w:tc>
          <w:tcPr>
            <w:tcW w:w="455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509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453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454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454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455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22</w:t>
            </w:r>
          </w:p>
        </w:tc>
      </w:tr>
    </w:tbl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обнаруженные в воде и донных отложениях обследованной акватории р.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 в 2023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концентрации загрязняющих веществ не представляли существенной опасности для водных биологических ресурсов. По большинству наименований обнаруженные в 2023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концентрации токсикантов входят в диапазон многолетних наблюдений и не являются аномально высокими, согласно результатам 5-и последних лет наблюдений.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3344C1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Азово-Черноморским филиалом ФГБНУ «ВНИРО» проводились оценка уровней накопления токсичных элементов, стойких ХОП (суммарно по 9 изомерам), ПХБ (суммарно по 7 индикаторным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конгенерам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радионуклидов (цезий-137, стронций-90) в мышцах Черноморско-Азовской проходной сельди, судака, окуня, карася, леща, рыбца, тарани, пиленгаса, сома и сазана на соответствие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ТС 021/2011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Техническому регламенту Таможенного союза «О безопасности пищевой продукции» (с изменениями на 8 августа 2019 г.). Согласно полученным результатам вся обследованная рыба пригодна в пищу по показателям загрязнения и радиационной безопасности.</w:t>
      </w:r>
      <w:r w:rsidR="00675B07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основании и по сопоставлению полученных данных с результатами среднемноголетних исследований дано положительное заключение по показателям загрязнения среды обитания на продукцию речного рака. Какие-либо специальные или дополнительные исследования по данному вопросу не проводились.</w:t>
      </w:r>
    </w:p>
    <w:p w:rsidR="00D248FD" w:rsidRPr="00AA61C8" w:rsidRDefault="00FA695E" w:rsidP="00C9121F">
      <w:pPr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бассейне р.</w:t>
      </w:r>
      <w:r w:rsidR="007E025E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 </w:t>
      </w:r>
      <w:r w:rsidR="00B96D0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водосборной акватории р.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 обнаружены повышенные концентрации нефтепродуктов: в р. </w:t>
      </w:r>
      <w:proofErr w:type="spellStart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Акшибай</w:t>
      </w:r>
      <w:proofErr w:type="spellEnd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пос. Шебалин 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р. Сал у пос.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Александровская </w:t>
      </w:r>
      <w:r w:rsidR="002D4E26" w:rsidRPr="00AA61C8">
        <w:rPr>
          <w:rFonts w:ascii="Times New Roman" w:eastAsia="SimSun" w:hAnsi="Times New Roman" w:cs="Times New Roman"/>
          <w:sz w:val="28"/>
          <w:szCs w:val="28"/>
        </w:rPr>
        <w:t xml:space="preserve">– 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1,2 </w:t>
      </w:r>
      <w:proofErr w:type="spellStart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="00402C85"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р. Б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ольшая </w:t>
      </w:r>
      <w:proofErr w:type="spellStart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Куберле</w:t>
      </w:r>
      <w:proofErr w:type="spellEnd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пос.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Раздорский</w:t>
      </w:r>
      <w:proofErr w:type="spellEnd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E26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уровне 1,8 </w:t>
      </w:r>
      <w:proofErr w:type="spellStart"/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="00402C85"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="00402C8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проанализированных 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пробах воды содержание биогенных углеводородов в общей сумме нефтепродуктов составило не менее 70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%, т.е</w:t>
      </w:r>
      <w:proofErr w:type="gramEnd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фактически доля антропогенных углеводородов даже в пробах с повышенным содержанием нефтепродуктов низкая </w:t>
      </w:r>
      <w:r w:rsidR="002D4E26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около 25 %. Т.е., случаи превышения </w:t>
      </w:r>
      <w:proofErr w:type="spellStart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ПДК</w:t>
      </w:r>
      <w:r w:rsidR="00402C85" w:rsidRPr="00AA61C8">
        <w:rPr>
          <w:rFonts w:ascii="Times New Roman" w:eastAsia="SimSu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="00402C85" w:rsidRPr="00AA61C8">
        <w:rPr>
          <w:rFonts w:ascii="Times New Roman" w:eastAsia="SimSun" w:hAnsi="Times New Roman" w:cs="Times New Roman"/>
          <w:sz w:val="28"/>
          <w:szCs w:val="28"/>
          <w:vertAlign w:val="subscript"/>
          <w:lang w:eastAsia="ru-RU"/>
        </w:rPr>
        <w:t>/х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нефтепродуктов в пробах воды инструментально не подтвердились. В донных отложениях повышенная концентрация нефтепродуктов отмечалась в донных отложениях р. Б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ольшая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Куберле</w:t>
      </w:r>
      <w:proofErr w:type="spellEnd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 пос.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proofErr w:type="spellStart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Раздорский</w:t>
      </w:r>
      <w:proofErr w:type="spellEnd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в р.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Сал у пос.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Б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ольшая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Мартыновка</w:t>
      </w:r>
      <w:proofErr w:type="spellEnd"/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. Ориентировочная условная предельная величина (1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г/кг) была превышена в 1,4 и 1,9 раза, соответственно, что может негативно сказаться на нормальном функционировании донных биоценозов. В донных отложениях остальных обследованных участков дна водосборной акватории р.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Сал содержание нефтепродуктов было низким (0,04</w:t>
      </w:r>
      <w:r w:rsidR="007E025E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0,31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="00402C85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г/кг сухой массы). </w:t>
      </w:r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целом, в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5 лет наблюдений (2019</w:t>
      </w:r>
      <w:r w:rsidR="002D4E26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2023</w:t>
      </w:r>
      <w:r w:rsidR="008B39A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гг.) фиксируется рост концентраций нефтепродуктов в донных осадках р.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Сал, при этом содержание в воде меняется незначительно (таблица 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7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).</w:t>
      </w:r>
    </w:p>
    <w:p w:rsidR="00402C85" w:rsidRPr="00AA61C8" w:rsidRDefault="00402C85" w:rsidP="00C9121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2D4E26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Среднее содержание нефтепродуктов в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воде и донных отложениях р. Сал в период 2019–2023 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5"/>
        <w:gridCol w:w="2751"/>
        <w:gridCol w:w="5075"/>
      </w:tblGrid>
      <w:tr w:rsidR="00402C85" w:rsidRPr="00AA61C8" w:rsidTr="009863F5">
        <w:trPr>
          <w:jc w:val="center"/>
        </w:trPr>
        <w:tc>
          <w:tcPr>
            <w:tcW w:w="91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Год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Вода, мг/дм</w:t>
            </w: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6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Донные отложения, </w:t>
            </w:r>
            <w:proofErr w:type="gramStart"/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proofErr w:type="gramEnd"/>
            <w:r w:rsidRPr="00AA6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/кг сухой массы</w:t>
            </w:r>
          </w:p>
        </w:tc>
      </w:tr>
      <w:tr w:rsidR="00402C85" w:rsidRPr="00AA61C8" w:rsidTr="009863F5">
        <w:trPr>
          <w:jc w:val="center"/>
        </w:trPr>
        <w:tc>
          <w:tcPr>
            <w:tcW w:w="91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26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402C85" w:rsidRPr="00AA61C8" w:rsidTr="009863F5">
        <w:trPr>
          <w:jc w:val="center"/>
        </w:trPr>
        <w:tc>
          <w:tcPr>
            <w:tcW w:w="91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26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0,22</w:t>
            </w:r>
          </w:p>
        </w:tc>
      </w:tr>
      <w:tr w:rsidR="00402C85" w:rsidRPr="00AA61C8" w:rsidTr="009863F5">
        <w:trPr>
          <w:jc w:val="center"/>
        </w:trPr>
        <w:tc>
          <w:tcPr>
            <w:tcW w:w="91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26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</w:t>
            </w:r>
          </w:p>
        </w:tc>
      </w:tr>
      <w:tr w:rsidR="00402C85" w:rsidRPr="00AA61C8" w:rsidTr="009863F5">
        <w:trPr>
          <w:jc w:val="center"/>
        </w:trPr>
        <w:tc>
          <w:tcPr>
            <w:tcW w:w="91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0,09</w:t>
            </w:r>
          </w:p>
        </w:tc>
        <w:tc>
          <w:tcPr>
            <w:tcW w:w="26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0,70</w:t>
            </w:r>
          </w:p>
        </w:tc>
      </w:tr>
      <w:tr w:rsidR="00402C85" w:rsidRPr="00AA61C8" w:rsidTr="009863F5">
        <w:trPr>
          <w:jc w:val="center"/>
        </w:trPr>
        <w:tc>
          <w:tcPr>
            <w:tcW w:w="912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2651" w:type="pct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1,87</w:t>
            </w:r>
          </w:p>
        </w:tc>
      </w:tr>
      <w:tr w:rsidR="00402C85" w:rsidRPr="00AA61C8" w:rsidTr="009863F5">
        <w:trPr>
          <w:jc w:val="center"/>
        </w:trPr>
        <w:tc>
          <w:tcPr>
            <w:tcW w:w="912" w:type="pct"/>
            <w:tcBorders>
              <w:bottom w:val="single" w:sz="4" w:space="0" w:color="auto"/>
            </w:tcBorders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ПДК</w:t>
            </w: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р</w:t>
            </w:r>
            <w:proofErr w:type="spellEnd"/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/х</w:t>
            </w:r>
          </w:p>
        </w:tc>
        <w:tc>
          <w:tcPr>
            <w:tcW w:w="1437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2651" w:type="pct"/>
            <w:vAlign w:val="center"/>
          </w:tcPr>
          <w:p w:rsidR="00402C85" w:rsidRPr="00AA61C8" w:rsidRDefault="00402C85" w:rsidP="00C912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Из стойких ХОП в воде р. Сал у пос. Андреевская, р. М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алая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Куберле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р.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proofErr w:type="spellStart"/>
      <w:r w:rsidR="00D33168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Акшибай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зафиксирован метаболит препарата ДДТ 4,4-ДДЕ в низкой концентрации (до 1,3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нг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/дм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  <w:lang w:eastAsia="ru-RU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). В донных отложениях р. Сал у пос.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Б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ольшая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Мартыновка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р. Б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ольшая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Куберле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 пос.</w:t>
      </w:r>
      <w:r w:rsidR="002D4E2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Раздорский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обнаружены остаточные количества метаболитов препарата ДДТ 2,4-ДДЕ и 4,4-ДДЕ (0,2 мкг/кг). ПХБ в воде и донных отложениях не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найдены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Данные многолетних наблюдений (2019</w:t>
      </w:r>
      <w:r w:rsidR="002D4E26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2023</w:t>
      </w:r>
      <w:r w:rsidR="008B39A6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гг.) показывают, что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водосборной акватории р.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 стойкими ХОП и ПХБ носит сезонный характер с явным весенним максимумом и в целом остается остаточным.</w:t>
      </w:r>
      <w:proofErr w:type="gramEnd"/>
    </w:p>
    <w:p w:rsidR="00402C85" w:rsidRPr="00AA61C8" w:rsidRDefault="00402C85" w:rsidP="00C9121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проанализированных пробах воды зафиксировано превышение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 с максимальным показателем в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Джурак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-Сал у пос. Никольский (на уровне 4,6</w:t>
      </w:r>
      <w:r w:rsidR="005A452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большинстве проб воды обнаружено превышение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марганца. </w:t>
      </w:r>
      <w:r w:rsidR="007E025E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ысокая концентрация марганца (на уровне 24</w:t>
      </w:r>
      <w:r w:rsidR="005A452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отмечалась в воде р.</w:t>
      </w:r>
      <w:r w:rsidR="004F2849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Акшибай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пробах воды, отобранных в р.</w:t>
      </w:r>
      <w:r w:rsidR="007E025E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Куберле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пос.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Раздорский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Акшибай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зафиксировано превышение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</w:t>
      </w:r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/х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 в 2,6 и 1,6</w:t>
      </w:r>
      <w:r w:rsidR="007E025E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раза, соответственно. Теоретически, повышенные концентрации данных металлов могут объясняться той же причиной, что и нефтепродуктов, однако, использованная методика анализа не позволяет провести разделение биогенного и антропогенного вклада в суммарную концентрацию каждого из металлов. Концентрации цинка, никеля, свинца, ртути и мышьяка невысокие (ниже рыбохозяйственных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нормативов); кадмий и хром в воде не найдены. Полученные в 2023</w:t>
      </w:r>
      <w:r w:rsidR="007E025E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данные по содержанию тяжелых металлов и мышьяка в воде водосборной площади р.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 в целом соответствуют данным многолетних наблюдений. В донных отложениях низкая удельная активность цезия-137 зафиксирована только в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р. </w:t>
      </w:r>
      <w:proofErr w:type="spellStart"/>
      <w:r w:rsidR="008F22D4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Акшибай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 пос. Шебалин (4,17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Бк/кг) и в р.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Сал у пос. Андреевская, (5,71</w:t>
      </w:r>
      <w:r w:rsidR="007E025E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Бк/кг)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Содержание контролируемых тяжёлых металлов и мышьяка в целом соответствовало данным среднемноголетних наблюдений.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обнаруженные в воде и донных отложениях обследованной акватории р.</w:t>
      </w:r>
      <w:r w:rsidR="005A452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 в 2023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концентрации загрязняющих веществ не представляли существенной опасности для водных биологических ресурсов. По большинству наименований обнаруженные в 2023</w:t>
      </w:r>
      <w:r w:rsidR="002D4E26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концентрации токсикантов входят в диапазон многолетних наблюдений и не являются аномальными, согласно результатам 5-и последних лет наблюдений. </w:t>
      </w:r>
    </w:p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основании и по сопоставлению полученных данных с результатами среднемноголетних исследований дано положительное заключение по показателям загрязнения среды обитания на продукцию речного рака. Какие-либо специальные или дополнительные исследования по данному вопросу не проводились.</w:t>
      </w:r>
    </w:p>
    <w:p w:rsidR="00402C85" w:rsidRPr="00AA61C8" w:rsidRDefault="00402C85" w:rsidP="00C9121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bookmarkStart w:id="7" w:name="_Hlk158210775"/>
      <w:r w:rsidRPr="00AA61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В Ростовской области применяют отечественные и зарубежные пестициды, зарегистрированные в установленном законом порядке. Обязательным условием государственной регистрации пестицидов является наличие нормативов для воды рыбохозяйственных водоемов, т. е. предельно допустимых концентраций (ПДК), а также методов их аналитического контроля.</w:t>
      </w:r>
    </w:p>
    <w:p w:rsidR="00611721" w:rsidRPr="00AA61C8" w:rsidRDefault="00402C85" w:rsidP="00C9121F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Мониторинговые исследования</w:t>
      </w:r>
      <w:r w:rsidR="00EC2AAD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,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проведенные весной 2023 г в воде, донных отложениях, мясе и яйцах раков р</w:t>
      </w:r>
      <w:r w:rsidR="000E062E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Дон показали присутствие в них </w:t>
      </w:r>
      <w:bookmarkStart w:id="8" w:name="Bookmark"/>
      <w:bookmarkEnd w:id="8"/>
      <w:r w:rsidR="00611721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16 наименовании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действующих веществ (ДВ) пестицидов</w:t>
      </w:r>
      <w:r w:rsidR="00EC2AAD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, представленных гербицидами, инсектицидами и фунгицидами</w:t>
      </w:r>
      <w:r w:rsidR="00611721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(таблица </w:t>
      </w:r>
      <w:r w:rsidR="00201CAF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8</w:t>
      </w:r>
      <w:r w:rsidR="00611721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)</w:t>
      </w:r>
    </w:p>
    <w:p w:rsidR="00201CAF" w:rsidRPr="00AA61C8" w:rsidRDefault="00201CAF" w:rsidP="00201CAF">
      <w:pPr>
        <w:suppressAutoHyphens/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lastRenderedPageBreak/>
        <w:t>Таблица 8 – Содержание ДВ пестицидов воде (в мкг/л) и донных отложениях (в мкг/л) в р. Дон, включая водоемы поймы в 2023 г.</w:t>
      </w:r>
    </w:p>
    <w:p w:rsidR="00201CAF" w:rsidRPr="00AA61C8" w:rsidRDefault="00201CAF" w:rsidP="00201CAF">
      <w:pPr>
        <w:suppressAutoHyphens/>
        <w:spacing w:after="0" w:line="360" w:lineRule="auto"/>
        <w:ind w:firstLine="142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689"/>
        <w:gridCol w:w="2623"/>
        <w:gridCol w:w="989"/>
        <w:gridCol w:w="3192"/>
      </w:tblGrid>
      <w:tr w:rsidR="00611721" w:rsidRPr="00AA61C8" w:rsidTr="00201CAF">
        <w:trPr>
          <w:trHeight w:val="1132"/>
        </w:trPr>
        <w:tc>
          <w:tcPr>
            <w:tcW w:w="2689" w:type="dxa"/>
          </w:tcPr>
          <w:p w:rsidR="00611721" w:rsidRPr="00AA61C8" w:rsidRDefault="00611721" w:rsidP="00722E82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Наименование ДВ</w:t>
            </w:r>
          </w:p>
        </w:tc>
        <w:tc>
          <w:tcPr>
            <w:tcW w:w="2623" w:type="dxa"/>
          </w:tcPr>
          <w:p w:rsidR="00201CAF" w:rsidRPr="00AA61C8" w:rsidRDefault="00611721" w:rsidP="00722E82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 xml:space="preserve">Содержание ДВ пестицидов воде </w:t>
            </w:r>
          </w:p>
          <w:p w:rsidR="00611721" w:rsidRPr="00AA61C8" w:rsidRDefault="00611721" w:rsidP="00722E82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>(в мкг/л)</w:t>
            </w:r>
          </w:p>
        </w:tc>
        <w:tc>
          <w:tcPr>
            <w:tcW w:w="989" w:type="dxa"/>
          </w:tcPr>
          <w:p w:rsidR="00611721" w:rsidRPr="00AA61C8" w:rsidRDefault="00611721" w:rsidP="00722E82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ПДК (мкг/л)</w:t>
            </w:r>
          </w:p>
        </w:tc>
        <w:tc>
          <w:tcPr>
            <w:tcW w:w="3192" w:type="dxa"/>
          </w:tcPr>
          <w:p w:rsidR="00611721" w:rsidRPr="00AA61C8" w:rsidRDefault="00611721" w:rsidP="00201CAF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>Содержание ДВ пестицидов в донных отложениях (в мг/л)</w:t>
            </w:r>
          </w:p>
        </w:tc>
      </w:tr>
      <w:tr w:rsidR="00722E82" w:rsidRPr="00AA61C8" w:rsidTr="00722E82">
        <w:trPr>
          <w:trHeight w:val="299"/>
        </w:trPr>
        <w:tc>
          <w:tcPr>
            <w:tcW w:w="9493" w:type="dxa"/>
            <w:gridSpan w:val="4"/>
          </w:tcPr>
          <w:p w:rsidR="00722E82" w:rsidRPr="00AA61C8" w:rsidRDefault="000E447A" w:rsidP="00722E82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>Г</w:t>
            </w:r>
            <w:r w:rsidR="00722E82" w:rsidRPr="00AA61C8">
              <w:rPr>
                <w:rFonts w:ascii="Times New Roman" w:hAnsi="Times New Roman"/>
                <w:sz w:val="26"/>
                <w:szCs w:val="26"/>
              </w:rPr>
              <w:t>ербициды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2,4–Д кислота</w:t>
            </w:r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1,23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3,94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Имазетапир</w:t>
            </w:r>
            <w:proofErr w:type="spellEnd"/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1,29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400,0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3,78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Клопиралид</w:t>
            </w:r>
            <w:proofErr w:type="spellEnd"/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2,66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60,0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2,10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Метрибузин</w:t>
            </w:r>
            <w:proofErr w:type="spellEnd"/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0,26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500,0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1,07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Флумиоксазин</w:t>
            </w:r>
            <w:proofErr w:type="spellEnd"/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0,20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40,0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1,68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Флуфенацет</w:t>
            </w:r>
            <w:proofErr w:type="spellEnd"/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8,78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500,0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3,83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Хизалофоп</w:t>
            </w:r>
            <w:proofErr w:type="spellEnd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–П–этил</w:t>
            </w:r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0,11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1,24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Ципросульфамид</w:t>
            </w:r>
            <w:proofErr w:type="spellEnd"/>
          </w:p>
        </w:tc>
        <w:tc>
          <w:tcPr>
            <w:tcW w:w="2623" w:type="dxa"/>
          </w:tcPr>
          <w:p w:rsidR="00722E82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0,51</w:t>
            </w:r>
          </w:p>
        </w:tc>
        <w:tc>
          <w:tcPr>
            <w:tcW w:w="989" w:type="dxa"/>
            <w:vAlign w:val="center"/>
          </w:tcPr>
          <w:p w:rsidR="00722E82" w:rsidRPr="00AA61C8" w:rsidRDefault="00722E82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1,21</w:t>
            </w:r>
          </w:p>
        </w:tc>
      </w:tr>
      <w:tr w:rsidR="00722E82" w:rsidRPr="00AA61C8" w:rsidTr="00201CAF">
        <w:tc>
          <w:tcPr>
            <w:tcW w:w="2689" w:type="dxa"/>
            <w:vAlign w:val="bottom"/>
          </w:tcPr>
          <w:p w:rsidR="00722E82" w:rsidRPr="00AA61C8" w:rsidRDefault="00722E82" w:rsidP="00722E82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Этофумезат</w:t>
            </w:r>
            <w:proofErr w:type="spellEnd"/>
          </w:p>
        </w:tc>
        <w:tc>
          <w:tcPr>
            <w:tcW w:w="2623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-</w:t>
            </w:r>
          </w:p>
        </w:tc>
        <w:tc>
          <w:tcPr>
            <w:tcW w:w="989" w:type="dxa"/>
          </w:tcPr>
          <w:p w:rsidR="00722E82" w:rsidRPr="00AA61C8" w:rsidRDefault="00722E82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7,0</w:t>
            </w:r>
          </w:p>
        </w:tc>
        <w:tc>
          <w:tcPr>
            <w:tcW w:w="3192" w:type="dxa"/>
          </w:tcPr>
          <w:p w:rsidR="00722E82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1,21</w:t>
            </w:r>
          </w:p>
        </w:tc>
      </w:tr>
      <w:tr w:rsidR="000E447A" w:rsidRPr="00AA61C8" w:rsidTr="004552B6">
        <w:tc>
          <w:tcPr>
            <w:tcW w:w="9493" w:type="dxa"/>
            <w:gridSpan w:val="4"/>
            <w:vAlign w:val="bottom"/>
          </w:tcPr>
          <w:p w:rsidR="000E447A" w:rsidRPr="00AA61C8" w:rsidRDefault="000E447A" w:rsidP="000E44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Инсектициды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0E44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Имидаклоприд</w:t>
            </w:r>
            <w:proofErr w:type="spellEnd"/>
          </w:p>
        </w:tc>
        <w:tc>
          <w:tcPr>
            <w:tcW w:w="2623" w:type="dxa"/>
          </w:tcPr>
          <w:p w:rsidR="000E447A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25,68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1000,0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6,80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6032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Т</w:t>
            </w:r>
            <w:r w:rsidR="000E447A"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иаметоксам</w:t>
            </w:r>
            <w:proofErr w:type="spellEnd"/>
          </w:p>
        </w:tc>
        <w:tc>
          <w:tcPr>
            <w:tcW w:w="2623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-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1000,0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5,82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0E44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Флубендиамид</w:t>
            </w:r>
            <w:proofErr w:type="spellEnd"/>
          </w:p>
        </w:tc>
        <w:tc>
          <w:tcPr>
            <w:tcW w:w="2623" w:type="dxa"/>
          </w:tcPr>
          <w:p w:rsidR="000E447A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6,06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0,95</w:t>
            </w:r>
          </w:p>
        </w:tc>
      </w:tr>
      <w:tr w:rsidR="000E447A" w:rsidRPr="00AA61C8" w:rsidTr="004552B6">
        <w:tc>
          <w:tcPr>
            <w:tcW w:w="9493" w:type="dxa"/>
            <w:gridSpan w:val="4"/>
            <w:vAlign w:val="bottom"/>
          </w:tcPr>
          <w:p w:rsidR="000E447A" w:rsidRPr="00AA61C8" w:rsidRDefault="000E447A" w:rsidP="000E44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Фунгициды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0E44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Ипродион</w:t>
            </w:r>
            <w:proofErr w:type="spellEnd"/>
          </w:p>
        </w:tc>
        <w:tc>
          <w:tcPr>
            <w:tcW w:w="2623" w:type="dxa"/>
          </w:tcPr>
          <w:p w:rsidR="000E447A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9,37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125,0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0,16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0E44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Пенцикурон</w:t>
            </w:r>
            <w:proofErr w:type="spellEnd"/>
          </w:p>
        </w:tc>
        <w:tc>
          <w:tcPr>
            <w:tcW w:w="2623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-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50,0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0,43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0E44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Тебуконазол</w:t>
            </w:r>
            <w:proofErr w:type="spellEnd"/>
          </w:p>
        </w:tc>
        <w:tc>
          <w:tcPr>
            <w:tcW w:w="2623" w:type="dxa"/>
          </w:tcPr>
          <w:p w:rsidR="000E447A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1,68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1,56</w:t>
            </w:r>
          </w:p>
        </w:tc>
      </w:tr>
      <w:tr w:rsidR="000E447A" w:rsidRPr="00AA61C8" w:rsidTr="00201CAF">
        <w:tc>
          <w:tcPr>
            <w:tcW w:w="2689" w:type="dxa"/>
            <w:vAlign w:val="bottom"/>
          </w:tcPr>
          <w:p w:rsidR="000E447A" w:rsidRPr="00AA61C8" w:rsidRDefault="0060327A" w:rsidP="000E447A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Ф</w:t>
            </w:r>
            <w:r w:rsidR="000E447A"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амоксадон</w:t>
            </w:r>
            <w:proofErr w:type="spellEnd"/>
          </w:p>
        </w:tc>
        <w:tc>
          <w:tcPr>
            <w:tcW w:w="2623" w:type="dxa"/>
          </w:tcPr>
          <w:p w:rsidR="000E447A" w:rsidRPr="00AA61C8" w:rsidRDefault="000E44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2,46</w:t>
            </w:r>
          </w:p>
        </w:tc>
        <w:tc>
          <w:tcPr>
            <w:tcW w:w="989" w:type="dxa"/>
            <w:vAlign w:val="center"/>
          </w:tcPr>
          <w:p w:rsidR="000E447A" w:rsidRPr="00AA61C8" w:rsidRDefault="000E447A" w:rsidP="0060327A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5,0</w:t>
            </w:r>
          </w:p>
        </w:tc>
        <w:tc>
          <w:tcPr>
            <w:tcW w:w="3192" w:type="dxa"/>
          </w:tcPr>
          <w:p w:rsidR="000E447A" w:rsidRPr="00AA61C8" w:rsidRDefault="0060327A" w:rsidP="0060327A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1,46</w:t>
            </w:r>
          </w:p>
        </w:tc>
      </w:tr>
    </w:tbl>
    <w:p w:rsidR="00EC2AAD" w:rsidRPr="00AA61C8" w:rsidRDefault="00EC2AAD" w:rsidP="00C9121F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402C85" w:rsidRPr="00AA61C8" w:rsidRDefault="00EC2AAD" w:rsidP="00C9121F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В наибольших концентрациях в воде и донных отложениях был отмечен </w:t>
      </w:r>
      <w:r w:rsidRPr="00AA61C8">
        <w:rPr>
          <w:rFonts w:ascii="Times New Roman" w:eastAsia="SimSun" w:hAnsi="Times New Roman" w:cs="Times New Roman"/>
          <w:color w:val="000000"/>
          <w:sz w:val="26"/>
          <w:szCs w:val="26"/>
          <w:shd w:val="clear" w:color="auto" w:fill="FFFFFF"/>
          <w:lang w:eastAsia="ar-SA"/>
        </w:rPr>
        <w:t>инсектицид</w:t>
      </w:r>
      <w:r w:rsidRPr="00AA61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61C8">
        <w:rPr>
          <w:rFonts w:ascii="Times New Roman" w:hAnsi="Times New Roman" w:cs="Times New Roman"/>
          <w:color w:val="000000"/>
          <w:sz w:val="26"/>
          <w:szCs w:val="26"/>
        </w:rPr>
        <w:t>имидаклоприд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(25,68 мкг/</w:t>
      </w:r>
      <w:proofErr w:type="gram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л</w:t>
      </w:r>
      <w:proofErr w:type="gram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и 6,80 мг/кг соответственно). </w:t>
      </w:r>
      <w:r w:rsidR="00402C85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Наибольшая суммарная концентрация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ДВ в воде </w:t>
      </w:r>
      <w:r w:rsidR="00402C85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наблюдалась на станции в районе ст. Романовская 49,04 мкг/</w:t>
      </w:r>
      <w:proofErr w:type="gramStart"/>
      <w:r w:rsidR="00402C85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л</w:t>
      </w:r>
      <w:proofErr w:type="gram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, м</w:t>
      </w:r>
      <w:r w:rsidR="00402C85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аксимальная суммарная концентрация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 xml:space="preserve">ДВ </w:t>
      </w:r>
      <w:r w:rsidR="00402C85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была зафиксирована в районе г.</w:t>
      </w:r>
      <w:r w:rsidR="003C3232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 </w:t>
      </w:r>
      <w:r w:rsidR="00402C85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Семикаракорск – 23,37 мг/кг.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Все выявленные концентрации ДВ пестицидов были ниже 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предельно допустимых концентраций (ПДК) для рыбохозяйственных водоемов.</w:t>
      </w:r>
    </w:p>
    <w:p w:rsidR="001614D6" w:rsidRPr="00AA61C8" w:rsidRDefault="001614D6" w:rsidP="001614D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Половые продукты гидробионтов (икра, молоки, яйца) формируются из жировой ткани. Пестициды, отложившиеся в жировой ткани способны перейти в яйца раков. Накопившись там, они могут оказать негативное влияние на эмбриональное и постэмбриональное развитие, отложиться в растущем организме, вызывая дальнейшие отрицательные последствия.</w:t>
      </w:r>
    </w:p>
    <w:p w:rsidR="001614D6" w:rsidRPr="00AA61C8" w:rsidRDefault="001614D6" w:rsidP="001614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Изучение содержания ДВ пестицидов в мясе раков, выловлены в р.  Дон показало, что уровень накопления этих веществ достаточно низок. Максимально допустимый уровень (МДУ) </w:t>
      </w:r>
      <w:r w:rsidR="00147053" w:rsidRPr="00AA61C8">
        <w:rPr>
          <w:rFonts w:ascii="Times New Roman" w:hAnsi="Times New Roman"/>
          <w:sz w:val="28"/>
          <w:szCs w:val="28"/>
        </w:rPr>
        <w:t xml:space="preserve">применяемый в пищевой промышленности </w:t>
      </w:r>
      <w:r w:rsidRPr="00AA61C8">
        <w:rPr>
          <w:rFonts w:ascii="Times New Roman" w:hAnsi="Times New Roman"/>
          <w:sz w:val="28"/>
          <w:szCs w:val="28"/>
        </w:rPr>
        <w:t xml:space="preserve">также не был превышен. Результаты исследований приведены в таблице </w:t>
      </w:r>
      <w:r w:rsidR="00EC2AAD" w:rsidRPr="00AA61C8">
        <w:rPr>
          <w:rFonts w:ascii="Times New Roman" w:hAnsi="Times New Roman"/>
          <w:sz w:val="28"/>
          <w:szCs w:val="28"/>
        </w:rPr>
        <w:t>9</w:t>
      </w:r>
      <w:r w:rsidRPr="00AA61C8">
        <w:rPr>
          <w:rFonts w:ascii="Times New Roman" w:hAnsi="Times New Roman"/>
          <w:sz w:val="28"/>
          <w:szCs w:val="28"/>
        </w:rPr>
        <w:t>.</w:t>
      </w:r>
    </w:p>
    <w:p w:rsidR="001614D6" w:rsidRPr="00AA61C8" w:rsidRDefault="001614D6" w:rsidP="001614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Таблица </w:t>
      </w:r>
      <w:r w:rsidR="00EC2AAD" w:rsidRPr="00AA61C8">
        <w:rPr>
          <w:rFonts w:ascii="Times New Roman" w:hAnsi="Times New Roman"/>
          <w:sz w:val="28"/>
          <w:szCs w:val="28"/>
        </w:rPr>
        <w:t>9</w:t>
      </w:r>
      <w:r w:rsidRPr="00AA61C8">
        <w:rPr>
          <w:rFonts w:ascii="Times New Roman" w:hAnsi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/>
          <w:sz w:val="28"/>
          <w:szCs w:val="28"/>
        </w:rPr>
        <w:t>–</w:t>
      </w:r>
      <w:r w:rsidRPr="00AA61C8">
        <w:rPr>
          <w:rFonts w:ascii="Times New Roman" w:hAnsi="Times New Roman"/>
          <w:sz w:val="28"/>
          <w:szCs w:val="28"/>
        </w:rPr>
        <w:t xml:space="preserve"> Содержание ДВ пестицидов в мясе и яйцах раков, выловленных в р. Дон в 2023 г.</w:t>
      </w:r>
    </w:p>
    <w:p w:rsidR="001614D6" w:rsidRPr="00AA61C8" w:rsidRDefault="001614D6" w:rsidP="001614D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3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14"/>
        <w:gridCol w:w="992"/>
        <w:gridCol w:w="850"/>
        <w:gridCol w:w="993"/>
        <w:gridCol w:w="1051"/>
        <w:gridCol w:w="1075"/>
        <w:gridCol w:w="859"/>
        <w:gridCol w:w="984"/>
        <w:gridCol w:w="708"/>
        <w:gridCol w:w="851"/>
      </w:tblGrid>
      <w:tr w:rsidR="007039D8" w:rsidRPr="00AA61C8" w:rsidTr="00C9549B">
        <w:trPr>
          <w:trHeight w:val="312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Наименование ДВ</w:t>
            </w:r>
          </w:p>
        </w:tc>
        <w:tc>
          <w:tcPr>
            <w:tcW w:w="38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Мясо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Яйца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МДУ, мкг/</w:t>
            </w:r>
            <w:proofErr w:type="gram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кг</w:t>
            </w:r>
            <w:proofErr w:type="gramEnd"/>
          </w:p>
        </w:tc>
      </w:tr>
      <w:tr w:rsidR="007039D8" w:rsidRPr="00AA61C8" w:rsidTr="00C9549B">
        <w:trPr>
          <w:trHeight w:val="621"/>
        </w:trPr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Среднее, мг/кг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Мин., мг/кг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Макс., мг/кг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Частота встреч</w:t>
            </w:r>
            <w:proofErr w:type="gramStart"/>
            <w:r w:rsidRPr="00AA61C8">
              <w:rPr>
                <w:rFonts w:ascii="Times New Roman" w:hAnsi="Times New Roman"/>
                <w:color w:val="000000"/>
                <w:lang w:eastAsia="ru-RU"/>
              </w:rPr>
              <w:t>., %</w:t>
            </w:r>
            <w:proofErr w:type="gram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Среднее, мг/кг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Мин., мг/кг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Макс., мг/кг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Частота встреч</w:t>
            </w:r>
            <w:proofErr w:type="gramStart"/>
            <w:r w:rsidRPr="00AA61C8">
              <w:rPr>
                <w:rFonts w:ascii="Times New Roman" w:hAnsi="Times New Roman"/>
                <w:color w:val="000000"/>
                <w:lang w:eastAsia="ru-RU"/>
              </w:rPr>
              <w:t>., %</w:t>
            </w:r>
            <w:proofErr w:type="gram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C9549B" w:rsidRPr="00AA61C8" w:rsidTr="00C9549B">
        <w:trPr>
          <w:trHeight w:val="393"/>
        </w:trPr>
        <w:tc>
          <w:tcPr>
            <w:tcW w:w="10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C9549B" w:rsidP="00C954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 w:cs="Times New Roman"/>
              </w:rPr>
              <w:t>Гербициды</w:t>
            </w:r>
          </w:p>
        </w:tc>
      </w:tr>
      <w:tr w:rsidR="007039D8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D6" w:rsidRPr="00AA61C8" w:rsidRDefault="001614D6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2,4-Д кислота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14D6" w:rsidRPr="00AA61C8" w:rsidRDefault="001614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недопустимо</w:t>
            </w: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И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мазетапир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5,67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1,03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3,71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500</w:t>
            </w: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лопиралид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1,31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400</w:t>
            </w: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М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етрибузин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0,34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не нормируется</w:t>
            </w: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Ф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лумиоксазин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1,04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Ф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луфенацет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 w:cs="Times New Roman"/>
                <w:color w:val="000000"/>
              </w:rPr>
              <w:t>Хизалофоп</w:t>
            </w:r>
            <w:proofErr w:type="spellEnd"/>
            <w:r w:rsidRPr="00AA61C8">
              <w:rPr>
                <w:rFonts w:ascii="Times New Roman" w:hAnsi="Times New Roman" w:cs="Times New Roman"/>
                <w:color w:val="000000"/>
              </w:rPr>
              <w:t>–П–этил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C9549B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ципросульфамид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0,91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C9549B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этофумезат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</w:tr>
      <w:tr w:rsidR="00C9549B" w:rsidRPr="00AA61C8" w:rsidTr="004552B6">
        <w:trPr>
          <w:trHeight w:val="312"/>
        </w:trPr>
        <w:tc>
          <w:tcPr>
            <w:tcW w:w="1037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hd w:val="clear" w:color="auto" w:fill="FFFFFF"/>
                <w:lang w:eastAsia="ar-SA"/>
              </w:rPr>
              <w:t>Инсектициды</w:t>
            </w:r>
          </w:p>
        </w:tc>
      </w:tr>
      <w:tr w:rsidR="00C9549B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И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мидаклоприд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3,80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</w:tr>
      <w:tr w:rsidR="00C9549B" w:rsidRPr="00AA61C8" w:rsidTr="00C9549B">
        <w:trPr>
          <w:trHeight w:val="471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lastRenderedPageBreak/>
              <w:t>Т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иаметоксам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1,27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2,99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3,34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не нормируется</w:t>
            </w:r>
          </w:p>
        </w:tc>
      </w:tr>
      <w:tr w:rsidR="00C9549B" w:rsidRPr="00AA61C8" w:rsidTr="004552B6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Ф</w:t>
            </w:r>
            <w:r w:rsidR="00C9549B" w:rsidRPr="00AA61C8">
              <w:rPr>
                <w:rFonts w:ascii="Times New Roman" w:hAnsi="Times New Roman"/>
                <w:color w:val="000000"/>
                <w:lang w:eastAsia="ru-RU"/>
              </w:rPr>
              <w:t>лубендиамид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549B" w:rsidRPr="00AA61C8" w:rsidRDefault="00C9549B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549B" w:rsidRPr="00AA61C8" w:rsidTr="004552B6">
        <w:trPr>
          <w:trHeight w:val="312"/>
        </w:trPr>
        <w:tc>
          <w:tcPr>
            <w:tcW w:w="1037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9B" w:rsidRPr="00AA61C8" w:rsidRDefault="007D1911" w:rsidP="00C954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hd w:val="clear" w:color="auto" w:fill="FFFFFF"/>
                <w:lang w:eastAsia="ar-SA"/>
              </w:rPr>
              <w:t>Фунгициды</w:t>
            </w:r>
          </w:p>
        </w:tc>
      </w:tr>
      <w:tr w:rsidR="007D1911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11" w:rsidRPr="00AA61C8" w:rsidRDefault="007D1911" w:rsidP="007D191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Ипродион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0,91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</w:tr>
      <w:tr w:rsidR="007D1911" w:rsidRPr="00AA61C8" w:rsidTr="007D1911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11" w:rsidRPr="00AA61C8" w:rsidRDefault="007D1911" w:rsidP="007D191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Пенцикурон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0,62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200</w:t>
            </w:r>
          </w:p>
        </w:tc>
      </w:tr>
      <w:tr w:rsidR="007D1911" w:rsidRPr="00AA61C8" w:rsidTr="007D1911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11" w:rsidRPr="00AA61C8" w:rsidRDefault="007D1911" w:rsidP="007D191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Тебуконазол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1,63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0,57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0,72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2,12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250</w:t>
            </w:r>
          </w:p>
        </w:tc>
      </w:tr>
      <w:tr w:rsidR="007D1911" w:rsidRPr="00AA61C8" w:rsidTr="00C9549B">
        <w:trPr>
          <w:trHeight w:val="312"/>
        </w:trPr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11" w:rsidRPr="00AA61C8" w:rsidRDefault="007D1911" w:rsidP="007D1911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lang w:eastAsia="ru-RU"/>
              </w:rPr>
              <w:t>Фамоксадон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911" w:rsidRPr="00AA61C8" w:rsidRDefault="007D1911" w:rsidP="007D19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A61C8">
              <w:rPr>
                <w:rFonts w:ascii="Times New Roman" w:hAnsi="Times New Roman"/>
                <w:color w:val="000000"/>
                <w:lang w:eastAsia="ru-RU"/>
              </w:rPr>
              <w:t>не нормируется</w:t>
            </w:r>
          </w:p>
        </w:tc>
      </w:tr>
    </w:tbl>
    <w:p w:rsidR="001614D6" w:rsidRPr="00AA61C8" w:rsidRDefault="001614D6" w:rsidP="001614D6">
      <w:pPr>
        <w:spacing w:after="0" w:line="360" w:lineRule="auto"/>
        <w:jc w:val="both"/>
        <w:outlineLvl w:val="0"/>
        <w:rPr>
          <w:rFonts w:ascii="Times New Roman" w:hAnsi="Times New Roman"/>
          <w:bCs/>
          <w:sz w:val="28"/>
          <w:szCs w:val="28"/>
          <w:u w:val="single"/>
        </w:rPr>
      </w:pPr>
    </w:p>
    <w:p w:rsidR="00841C7D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В воде</w:t>
      </w:r>
      <w:r w:rsidR="00ED68D7" w:rsidRPr="00AA61C8">
        <w:rPr>
          <w:rFonts w:ascii="Times New Roman" w:eastAsia="Calibri" w:hAnsi="Times New Roman" w:cs="Times New Roman"/>
          <w:sz w:val="28"/>
          <w:szCs w:val="28"/>
        </w:rPr>
        <w:t xml:space="preserve"> водотоков бассейна </w:t>
      </w:r>
      <w:r w:rsidRPr="00AA61C8">
        <w:rPr>
          <w:rFonts w:ascii="Times New Roman" w:eastAsia="Calibri" w:hAnsi="Times New Roman" w:cs="Times New Roman"/>
          <w:sz w:val="28"/>
          <w:szCs w:val="28"/>
        </w:rPr>
        <w:t>р</w:t>
      </w:r>
      <w:r w:rsidR="000E062E" w:rsidRPr="00AA61C8">
        <w:rPr>
          <w:rFonts w:ascii="Times New Roman" w:eastAsia="Calibri" w:hAnsi="Times New Roman" w:cs="Times New Roman"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Сал в весенний период 2023 г были обнаружены </w:t>
      </w:r>
      <w:r w:rsidR="00ED68D7" w:rsidRPr="00AA61C8">
        <w:rPr>
          <w:rFonts w:ascii="Times New Roman" w:eastAsia="Calibri" w:hAnsi="Times New Roman" w:cs="Times New Roman"/>
          <w:sz w:val="28"/>
          <w:szCs w:val="28"/>
        </w:rPr>
        <w:t>12 наименований ДВ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пестицидов </w:t>
      </w:r>
      <w:r w:rsidR="00ED68D7" w:rsidRPr="00AA61C8">
        <w:rPr>
          <w:rFonts w:ascii="Times New Roman" w:eastAsia="Calibri" w:hAnsi="Times New Roman" w:cs="Times New Roman"/>
          <w:sz w:val="28"/>
          <w:szCs w:val="28"/>
        </w:rPr>
        <w:t>(таблица 10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41C7D" w:rsidRPr="00AA61C8" w:rsidRDefault="00841C7D" w:rsidP="00841C7D">
      <w:pPr>
        <w:suppressAutoHyphens/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Таблица </w:t>
      </w:r>
      <w:r w:rsidR="00ED68D7" w:rsidRPr="00AA61C8">
        <w:rPr>
          <w:rFonts w:ascii="Times New Roman" w:hAnsi="Times New Roman"/>
          <w:sz w:val="28"/>
          <w:szCs w:val="28"/>
        </w:rPr>
        <w:t>10</w:t>
      </w:r>
      <w:r w:rsidRPr="00AA61C8">
        <w:rPr>
          <w:rFonts w:ascii="Times New Roman" w:hAnsi="Times New Roman"/>
          <w:sz w:val="28"/>
          <w:szCs w:val="28"/>
        </w:rPr>
        <w:t xml:space="preserve"> – Содержание ДВ пестицидов воде (в мкг/л) и донных отложениях (в мкг/л) в</w:t>
      </w:r>
      <w:r w:rsidR="00ED68D7" w:rsidRPr="00AA61C8">
        <w:rPr>
          <w:rFonts w:ascii="Times New Roman" w:hAnsi="Times New Roman"/>
          <w:sz w:val="28"/>
          <w:szCs w:val="28"/>
        </w:rPr>
        <w:t xml:space="preserve">одотоков бассейна </w:t>
      </w:r>
      <w:r w:rsidRPr="00AA61C8">
        <w:rPr>
          <w:rFonts w:ascii="Times New Roman" w:hAnsi="Times New Roman"/>
          <w:sz w:val="28"/>
          <w:szCs w:val="28"/>
        </w:rPr>
        <w:t xml:space="preserve">р. </w:t>
      </w:r>
      <w:r w:rsidR="00ED68D7" w:rsidRPr="00AA61C8">
        <w:rPr>
          <w:rFonts w:ascii="Times New Roman" w:hAnsi="Times New Roman"/>
          <w:sz w:val="28"/>
          <w:szCs w:val="28"/>
        </w:rPr>
        <w:t>Сал</w:t>
      </w:r>
      <w:r w:rsidRPr="00AA61C8">
        <w:rPr>
          <w:rFonts w:ascii="Times New Roman" w:hAnsi="Times New Roman"/>
          <w:sz w:val="28"/>
          <w:szCs w:val="28"/>
        </w:rPr>
        <w:t xml:space="preserve"> в 2023 г.</w:t>
      </w:r>
    </w:p>
    <w:p w:rsidR="00841C7D" w:rsidRPr="00AA61C8" w:rsidRDefault="00841C7D" w:rsidP="00841C7D">
      <w:pPr>
        <w:suppressAutoHyphens/>
        <w:spacing w:after="0" w:line="360" w:lineRule="auto"/>
        <w:ind w:firstLine="142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689"/>
        <w:gridCol w:w="2623"/>
        <w:gridCol w:w="989"/>
        <w:gridCol w:w="3192"/>
      </w:tblGrid>
      <w:tr w:rsidR="00841C7D" w:rsidRPr="00AA61C8" w:rsidTr="004552B6">
        <w:trPr>
          <w:trHeight w:val="1132"/>
        </w:trPr>
        <w:tc>
          <w:tcPr>
            <w:tcW w:w="2689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Наименование ДВ</w:t>
            </w:r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 xml:space="preserve">Содержание ДВ пестицидов воде </w:t>
            </w:r>
          </w:p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>(в мкг/л)</w:t>
            </w:r>
          </w:p>
        </w:tc>
        <w:tc>
          <w:tcPr>
            <w:tcW w:w="989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ПДК (мкг/л)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hAnsi="Times New Roman"/>
                <w:sz w:val="26"/>
                <w:szCs w:val="26"/>
              </w:rPr>
              <w:t>Содержание ДВ пестицидов в донных отложениях (в мг/л)</w:t>
            </w:r>
          </w:p>
        </w:tc>
      </w:tr>
      <w:tr w:rsidR="00841C7D" w:rsidRPr="00AA61C8" w:rsidTr="004552B6">
        <w:trPr>
          <w:trHeight w:val="299"/>
        </w:trPr>
        <w:tc>
          <w:tcPr>
            <w:tcW w:w="9493" w:type="dxa"/>
            <w:gridSpan w:val="4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1C8">
              <w:rPr>
                <w:rFonts w:ascii="Times New Roman" w:hAnsi="Times New Roman"/>
                <w:sz w:val="24"/>
                <w:szCs w:val="24"/>
              </w:rPr>
              <w:t>Гербициды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2,4–Д кислота</w:t>
            </w:r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0,34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Имазетапир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7,94 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400,0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0,09 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Клопиралид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3,16 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60,0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0,09 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Метрибузин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500,0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0,14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Флумиоксазин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0,27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40,0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1,68 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Флуфенацет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0,03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500,0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Хизалофоп</w:t>
            </w:r>
            <w:proofErr w:type="spellEnd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–П–этил</w:t>
            </w:r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0,31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Ципросульфамид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4,26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0,4</w:t>
            </w:r>
          </w:p>
        </w:tc>
      </w:tr>
      <w:tr w:rsidR="00841C7D" w:rsidRPr="00AA61C8" w:rsidTr="004552B6">
        <w:tc>
          <w:tcPr>
            <w:tcW w:w="9493" w:type="dxa"/>
            <w:gridSpan w:val="4"/>
            <w:vAlign w:val="bottom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Инсектициды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Имидаклоприд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4,44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1,00 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Флубендиамид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0,46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100,0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</w:tr>
      <w:tr w:rsidR="00841C7D" w:rsidRPr="00AA61C8" w:rsidTr="004552B6">
        <w:tc>
          <w:tcPr>
            <w:tcW w:w="9493" w:type="dxa"/>
            <w:gridSpan w:val="4"/>
            <w:vAlign w:val="bottom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t>Фунгициды</w:t>
            </w: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Пенцикурон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2,08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50,0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</w:tr>
      <w:tr w:rsidR="00841C7D" w:rsidRPr="00AA61C8" w:rsidTr="004552B6">
        <w:tc>
          <w:tcPr>
            <w:tcW w:w="2689" w:type="dxa"/>
            <w:vAlign w:val="bottom"/>
          </w:tcPr>
          <w:p w:rsidR="00841C7D" w:rsidRPr="00AA61C8" w:rsidRDefault="00841C7D" w:rsidP="004552B6">
            <w:pPr>
              <w:spacing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AA61C8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  <w:lastRenderedPageBreak/>
              <w:t>Фамоксадон</w:t>
            </w:r>
            <w:proofErr w:type="spellEnd"/>
          </w:p>
        </w:tc>
        <w:tc>
          <w:tcPr>
            <w:tcW w:w="2623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  <w:r w:rsidRPr="00AA61C8">
              <w:rPr>
                <w:rFonts w:ascii="Times New Roman" w:eastAsia="Calibri" w:hAnsi="Times New Roman"/>
                <w:sz w:val="28"/>
                <w:szCs w:val="28"/>
              </w:rPr>
              <w:t>0,63</w:t>
            </w:r>
          </w:p>
        </w:tc>
        <w:tc>
          <w:tcPr>
            <w:tcW w:w="989" w:type="dxa"/>
            <w:vAlign w:val="center"/>
          </w:tcPr>
          <w:p w:rsidR="00841C7D" w:rsidRPr="00AA61C8" w:rsidRDefault="00841C7D" w:rsidP="004552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A61C8">
              <w:rPr>
                <w:rFonts w:ascii="Times New Roman" w:hAnsi="Times New Roman"/>
                <w:color w:val="000000"/>
                <w:sz w:val="26"/>
                <w:szCs w:val="26"/>
              </w:rPr>
              <w:t>5,0</w:t>
            </w:r>
          </w:p>
        </w:tc>
        <w:tc>
          <w:tcPr>
            <w:tcW w:w="3192" w:type="dxa"/>
          </w:tcPr>
          <w:p w:rsidR="00841C7D" w:rsidRPr="00AA61C8" w:rsidRDefault="00841C7D" w:rsidP="004552B6">
            <w:pPr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ar-SA"/>
              </w:rPr>
            </w:pPr>
          </w:p>
        </w:tc>
      </w:tr>
    </w:tbl>
    <w:p w:rsidR="00ED68D7" w:rsidRPr="00AA61C8" w:rsidRDefault="00ED68D7" w:rsidP="00C912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8D7" w:rsidRPr="00AA61C8" w:rsidRDefault="00ED68D7" w:rsidP="00B91BD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В воде в наибольших количествах был зарегистрирован </w:t>
      </w:r>
      <w:proofErr w:type="spellStart"/>
      <w:r w:rsidRPr="00AA61C8">
        <w:rPr>
          <w:rFonts w:ascii="Times New Roman" w:hAnsi="Times New Roman" w:cs="Times New Roman"/>
          <w:color w:val="000000"/>
          <w:sz w:val="28"/>
          <w:szCs w:val="28"/>
        </w:rPr>
        <w:t>имазетапир</w:t>
      </w:r>
      <w:proofErr w:type="spellEnd"/>
      <w:r w:rsidRPr="00AA61C8">
        <w:rPr>
          <w:rFonts w:ascii="Times New Roman" w:hAnsi="Times New Roman" w:cs="Times New Roman"/>
          <w:color w:val="000000"/>
          <w:sz w:val="28"/>
          <w:szCs w:val="28"/>
        </w:rPr>
        <w:t xml:space="preserve"> (7,94 мкг/л), в донных отложениях – </w:t>
      </w:r>
      <w:proofErr w:type="spellStart"/>
      <w:r w:rsidRPr="00AA61C8">
        <w:rPr>
          <w:rFonts w:ascii="Times New Roman" w:hAnsi="Times New Roman" w:cs="Times New Roman"/>
          <w:color w:val="000000"/>
          <w:sz w:val="28"/>
          <w:szCs w:val="28"/>
        </w:rPr>
        <w:t>имазетапир</w:t>
      </w:r>
      <w:proofErr w:type="spellEnd"/>
      <w:r w:rsidRPr="00AA61C8">
        <w:rPr>
          <w:rFonts w:ascii="Times New Roman" w:hAnsi="Times New Roman" w:cs="Times New Roman"/>
          <w:color w:val="000000"/>
          <w:sz w:val="28"/>
          <w:szCs w:val="28"/>
        </w:rPr>
        <w:t xml:space="preserve"> (1,68 мг/л),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относящихся к среднетоксичным и малотоксичным веществам. Найденные количества не превышали нормативов предельно допустимых концентраций, утвержденных для воды водоемов рыбохозяйственного назначения.</w:t>
      </w:r>
    </w:p>
    <w:p w:rsidR="00402C85" w:rsidRPr="00AA61C8" w:rsidRDefault="00B91BD5" w:rsidP="00B91BD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Наибольшая суммарная концентрация ДВ в воде наблюдалась на станции в районе ст.</w:t>
      </w:r>
      <w:r w:rsidR="000B5F11"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Романовская 49,04 мкг/</w:t>
      </w:r>
      <w:proofErr w:type="gram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л</w:t>
      </w:r>
      <w:proofErr w:type="gram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, максимальная суммарная концентрация ДВ была зафиксирована в районе г. Семикаракорск – 23,37 мг/кг. Все выявленные концентрации ДВ пестицидов были ниже 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предельно допустимых концентраций (ПДК) для рыбохозяйственных водоемов и были </w:t>
      </w:r>
      <w:r w:rsidR="000E062E" w:rsidRPr="00AA61C8">
        <w:rPr>
          <w:rFonts w:ascii="Times New Roman" w:eastAsia="Calibri" w:hAnsi="Times New Roman" w:cs="Times New Roman"/>
          <w:sz w:val="28"/>
          <w:szCs w:val="28"/>
        </w:rPr>
        <w:t xml:space="preserve">сопоставимы с показателями </w:t>
      </w:r>
      <w:r w:rsidR="00402C85" w:rsidRPr="00AA61C8">
        <w:rPr>
          <w:rFonts w:ascii="Times New Roman" w:eastAsia="Calibri" w:hAnsi="Times New Roman" w:cs="Times New Roman"/>
          <w:sz w:val="28"/>
          <w:szCs w:val="28"/>
        </w:rPr>
        <w:t>предыдущих лет наблюдения.</w:t>
      </w:r>
    </w:p>
    <w:p w:rsidR="00B91BD5" w:rsidRPr="00AA61C8" w:rsidRDefault="00B91BD5" w:rsidP="00B91B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Таким образом, спектр </w:t>
      </w:r>
      <w:proofErr w:type="spellStart"/>
      <w:r w:rsidRPr="00AA61C8">
        <w:rPr>
          <w:rFonts w:ascii="Times New Roman" w:hAnsi="Times New Roman"/>
          <w:sz w:val="28"/>
          <w:szCs w:val="28"/>
        </w:rPr>
        <w:t>пестицидного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загрязнения на всех исследованных станциях находился на низком уровне, превышения ПДК не наблюдалось, что позволяет считать </w:t>
      </w:r>
      <w:r w:rsidR="00F13701" w:rsidRPr="00AA61C8">
        <w:rPr>
          <w:rFonts w:ascii="Times New Roman" w:hAnsi="Times New Roman"/>
          <w:sz w:val="28"/>
          <w:szCs w:val="28"/>
        </w:rPr>
        <w:t>условия среды обитания раков</w:t>
      </w:r>
      <w:r w:rsidRPr="00AA61C8">
        <w:rPr>
          <w:rFonts w:ascii="Times New Roman" w:hAnsi="Times New Roman"/>
          <w:sz w:val="28"/>
          <w:szCs w:val="28"/>
        </w:rPr>
        <w:t xml:space="preserve"> относительно безопасным для жизнедеятельности </w:t>
      </w:r>
      <w:r w:rsidR="00F13701" w:rsidRPr="00AA61C8">
        <w:rPr>
          <w:rFonts w:ascii="Times New Roman" w:hAnsi="Times New Roman"/>
          <w:sz w:val="28"/>
          <w:szCs w:val="28"/>
        </w:rPr>
        <w:t>раков.</w:t>
      </w:r>
    </w:p>
    <w:bookmarkEnd w:id="7"/>
    <w:p w:rsidR="00402C85" w:rsidRPr="00AA61C8" w:rsidRDefault="00402C85" w:rsidP="00C9121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Трофическая характеристика.</w:t>
      </w:r>
    </w:p>
    <w:p w:rsidR="004B0AD9" w:rsidRPr="00AA61C8" w:rsidRDefault="004B0AD9" w:rsidP="004B0A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>Относительно высокая степень зарастания промысловых водоемов высшей водной растительностью определяется климатическими условиями Ростовской области, большой площадью мелководной зоны, отсутствием резких колебаний уровня воды в течение года, поступлением в водоем с сельскохозяйственных угодий значительного количества биогенных элементов. При обследовании водоёмов определено, что заросли макрофитов распределяются на 6-70</w:t>
      </w:r>
      <w:r w:rsidR="000B5F11" w:rsidRPr="00AA61C8">
        <w:rPr>
          <w:rFonts w:ascii="Times New Roman" w:hAnsi="Times New Roman"/>
          <w:sz w:val="28"/>
          <w:szCs w:val="28"/>
        </w:rPr>
        <w:t> </w:t>
      </w:r>
      <w:r w:rsidRPr="00AA61C8">
        <w:rPr>
          <w:rFonts w:ascii="Times New Roman" w:hAnsi="Times New Roman"/>
          <w:sz w:val="28"/>
          <w:szCs w:val="28"/>
        </w:rPr>
        <w:t xml:space="preserve">% их площади. Сообщества макрофитов в пойменных водоемах р. Дон и бассейне р. Сал доминируют тростник, рогоз, рдесты и роголистник. Значительная </w:t>
      </w:r>
      <w:proofErr w:type="spellStart"/>
      <w:r w:rsidRPr="00AA61C8">
        <w:rPr>
          <w:rFonts w:ascii="Times New Roman" w:hAnsi="Times New Roman"/>
          <w:sz w:val="28"/>
          <w:szCs w:val="28"/>
        </w:rPr>
        <w:t>зарастаемость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отдельных участков </w:t>
      </w:r>
      <w:proofErr w:type="spellStart"/>
      <w:r w:rsidRPr="00AA61C8">
        <w:rPr>
          <w:rFonts w:ascii="Times New Roman" w:hAnsi="Times New Roman"/>
          <w:sz w:val="28"/>
          <w:szCs w:val="28"/>
        </w:rPr>
        <w:t>ракопромысловых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водоемов не является критической для продуцирования популяций раков, хотя и сокращает площадь промысловых угодий.</w:t>
      </w:r>
    </w:p>
    <w:p w:rsidR="00402C85" w:rsidRPr="00AA61C8" w:rsidRDefault="004B0AD9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_Hlk158212383"/>
      <w:bookmarkStart w:id="10" w:name="_Hlk158212341"/>
      <w:r w:rsidRPr="00AA61C8">
        <w:rPr>
          <w:rFonts w:ascii="Times New Roman" w:hAnsi="Times New Roman"/>
          <w:sz w:val="28"/>
          <w:szCs w:val="28"/>
        </w:rPr>
        <w:lastRenderedPageBreak/>
        <w:t>В составе фитопланктона р. Дон в весенни</w:t>
      </w:r>
      <w:proofErr w:type="gramStart"/>
      <w:r w:rsidRPr="00AA61C8">
        <w:rPr>
          <w:rFonts w:ascii="Times New Roman" w:hAnsi="Times New Roman"/>
          <w:sz w:val="28"/>
          <w:szCs w:val="28"/>
        </w:rPr>
        <w:t>й-</w:t>
      </w:r>
      <w:proofErr w:type="gramEnd"/>
      <w:r w:rsidRPr="00AA61C8">
        <w:rPr>
          <w:rFonts w:ascii="Times New Roman" w:hAnsi="Times New Roman"/>
          <w:sz w:val="28"/>
          <w:szCs w:val="28"/>
        </w:rPr>
        <w:t xml:space="preserve"> раннелетний период 2023 г. отмечено </w:t>
      </w:r>
      <w:r w:rsidR="00402C85" w:rsidRPr="00AA61C8">
        <w:rPr>
          <w:rFonts w:ascii="Times New Roman" w:eastAsia="Calibri" w:hAnsi="Times New Roman" w:cs="Times New Roman"/>
          <w:sz w:val="28"/>
          <w:szCs w:val="28"/>
        </w:rPr>
        <w:t>42</w:t>
      </w:r>
      <w:r w:rsidR="000B5F11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вида водорослей, относящихся к шести основным группам: </w:t>
      </w:r>
      <w:proofErr w:type="spellStart"/>
      <w:proofErr w:type="gram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End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yanobacteria</w:t>
      </w:r>
      <w:proofErr w:type="spellEnd"/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402C85" w:rsidRPr="00AA61C8">
        <w:rPr>
          <w:rFonts w:ascii="Times New Roman" w:eastAsia="Calibri" w:hAnsi="Times New Roman" w:cs="Times New Roman"/>
          <w:sz w:val="28"/>
          <w:szCs w:val="28"/>
        </w:rPr>
        <w:t>цианобактерии</w:t>
      </w:r>
      <w:proofErr w:type="spellEnd"/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) – 17, 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Chlorophyta</w:t>
      </w:r>
      <w:proofErr w:type="spellEnd"/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 (зеленые) – 13, 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Bacillariophyta</w:t>
      </w:r>
      <w:proofErr w:type="spellEnd"/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 (диатомовые) – 5, 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Euglenophyceae</w:t>
      </w:r>
      <w:proofErr w:type="spellEnd"/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402C85" w:rsidRPr="00AA61C8">
        <w:rPr>
          <w:rFonts w:ascii="Times New Roman" w:eastAsia="Calibri" w:hAnsi="Times New Roman" w:cs="Times New Roman"/>
          <w:sz w:val="28"/>
          <w:szCs w:val="28"/>
        </w:rPr>
        <w:t>эвгленовые</w:t>
      </w:r>
      <w:proofErr w:type="spellEnd"/>
      <w:r w:rsidR="00402C85" w:rsidRPr="00AA61C8">
        <w:rPr>
          <w:rFonts w:ascii="Times New Roman" w:eastAsia="Calibri" w:hAnsi="Times New Roman" w:cs="Times New Roman"/>
          <w:sz w:val="28"/>
          <w:szCs w:val="28"/>
        </w:rPr>
        <w:t xml:space="preserve">) – 4, 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Dinoflagellata</w:t>
      </w:r>
      <w:proofErr w:type="spellEnd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динофлагеляты</w:t>
      </w:r>
      <w:proofErr w:type="spellEnd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 xml:space="preserve">) – 2, 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Cryptophyta</w:t>
      </w:r>
      <w:proofErr w:type="spellEnd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spellStart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криптофитовые</w:t>
      </w:r>
      <w:proofErr w:type="spellEnd"/>
      <w:r w:rsidR="00402C85" w:rsidRPr="00AA61C8">
        <w:rPr>
          <w:rFonts w:ascii="Times New Roman" w:eastAsia="Calibri" w:hAnsi="Times New Roman" w:cs="Times New Roman"/>
          <w:bCs/>
          <w:sz w:val="28"/>
          <w:szCs w:val="28"/>
        </w:rPr>
        <w:t>) – 1.</w:t>
      </w:r>
    </w:p>
    <w:p w:rsidR="00402C85" w:rsidRPr="00AA61C8" w:rsidRDefault="00402C85" w:rsidP="004B0A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bookmarkStart w:id="11" w:name="_Hlk158212426"/>
      <w:bookmarkEnd w:id="9"/>
      <w:r w:rsidRPr="00AA61C8">
        <w:rPr>
          <w:rFonts w:ascii="Times New Roman" w:eastAsia="Calibri" w:hAnsi="Times New Roman" w:cs="Times New Roman"/>
          <w:sz w:val="28"/>
          <w:szCs w:val="28"/>
        </w:rPr>
        <w:t>Численность фитопланктона изменялась от 2240,0 до 13680,0</w:t>
      </w:r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>./м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, в среднем составляя 7059,3</w:t>
      </w:r>
      <w:r w:rsidR="00EB7792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млн</w:t>
      </w:r>
      <w:r w:rsidR="009267B9" w:rsidRPr="00AA61C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>./м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. Основу численности создавали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цианобактерии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Planktothrix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agardhii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>и</w:t>
      </w:r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Microcystis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pulverea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диатомовая водоросль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Melosira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varians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эвгленовая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Trachelomonas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oblonga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>. Биомасса фитопланктона колебалась в пределах 1981,2–10517,8</w:t>
      </w:r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, составляя в среднем 6624,8</w:t>
      </w:r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. Основу биомассы формировали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цианобактерии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– 60</w:t>
      </w:r>
      <w:r w:rsidR="00EB7792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% от общей биомассы. Среди доминантов комплекса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цианобактерий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отмечены водоросли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Planktothrix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agardhii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Microcystis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pulverea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Nodularia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harveyana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Лишь на одной станции дельты Дона в районе Лоцманского поста доминирующим видом являлась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эвгленовая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водоросль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Lepocinclis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>ovum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bookmarkEnd w:id="11"/>
    </w:p>
    <w:bookmarkEnd w:id="10"/>
    <w:p w:rsidR="00402C85" w:rsidRPr="00AA61C8" w:rsidRDefault="00402C85" w:rsidP="00EB779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</w:rPr>
      </w:pPr>
      <w:proofErr w:type="gramStart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Зоопланктон </w:t>
      </w:r>
      <w:r w:rsidRPr="00AA61C8">
        <w:rPr>
          <w:rFonts w:ascii="Times New Roman" w:eastAsia="Calibri" w:hAnsi="Times New Roman" w:cs="Times New Roman"/>
          <w:iCs/>
          <w:sz w:val="28"/>
          <w:szCs w:val="28"/>
        </w:rPr>
        <w:t>исследовали в весенний и летний сезоны.</w:t>
      </w:r>
      <w:r w:rsidRPr="00AA61C8">
        <w:rPr>
          <w:rFonts w:ascii="Times New Roman" w:eastAsia="Calibri" w:hAnsi="Times New Roman" w:cs="Times New Roman"/>
          <w:iCs/>
          <w:color w:val="FF0000"/>
          <w:sz w:val="28"/>
          <w:szCs w:val="28"/>
        </w:rPr>
        <w:t xml:space="preserve"> </w:t>
      </w:r>
      <w:proofErr w:type="gramEnd"/>
    </w:p>
    <w:p w:rsidR="00402C85" w:rsidRPr="00AA61C8" w:rsidRDefault="00402C85" w:rsidP="00EB779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2" w:name="_Hlk158212572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Весной сообщество характеризовалось богатым видовым составом, включавшим 28 таксонов истинного планктона (коловратки – 11, веслоногие ракообразные – 13 таксонов,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ракообразные – 4) и 3 таксона временных в планктоне организмов. Коловратки развивались слабо, преобладали виды рода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Brachionus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а также часто встречались хищные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Asplanchna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priodonta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ракообразные тоже были немногочисленны, преобладала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Bosmina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Bosmina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)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longirostris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Основу сообщества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веслоногих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ракообразных формировали представители отряда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val="en-US"/>
        </w:rPr>
        <w:t>Calanoida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Eurytemora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affinis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affinis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Calanipeda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aquaedulcis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. Среди временных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планктеров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наиболее многочисленны были личинки двустворчатых моллюсков, единично встречались личинки червей.</w:t>
      </w:r>
    </w:p>
    <w:p w:rsidR="00402C85" w:rsidRPr="00AA61C8" w:rsidRDefault="00402C85" w:rsidP="00C9121F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lastRenderedPageBreak/>
        <w:t>Основу биомассы зоопланктона по всему руслу реки формировали веслоногие ракообразные, их доля в общей биомассе составляла 97</w:t>
      </w:r>
      <w:r w:rsidR="007A54DC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%. Количественные показатели зоопланктона значительно колебались по станциям. Так, численность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зоопланктеров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изменялась от 3934 до 32411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экз./м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, биомасса – от 23,3 до 567,1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, при средних значениях 8413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экз./м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 124,7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, соответственно. Самые н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изкие значения</w:t>
      </w:r>
      <w:r w:rsidRPr="00AA61C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численности и биомассы</w:t>
      </w:r>
      <w:r w:rsidRPr="00AA61C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зоопланктона отмечены в</w:t>
      </w:r>
      <w:r w:rsidRPr="00AA61C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>дельте реки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протоке у поселка Кагальник. Наиболее активно зоопланктон развивался в устье реки Аксай и в районе хутора </w:t>
      </w:r>
      <w:proofErr w:type="spellStart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Арпачин</w:t>
      </w:r>
      <w:proofErr w:type="spellEnd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402C85" w:rsidRPr="00AA61C8" w:rsidRDefault="00402C85" w:rsidP="00C9121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3" w:name="_Hlk158212607"/>
      <w:bookmarkEnd w:id="12"/>
      <w:r w:rsidRPr="00AA61C8">
        <w:rPr>
          <w:rFonts w:ascii="Times New Roman" w:eastAsia="Calibri" w:hAnsi="Times New Roman" w:cs="Times New Roman"/>
          <w:iCs/>
          <w:sz w:val="28"/>
          <w:szCs w:val="28"/>
        </w:rPr>
        <w:t>В л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етний период отмечено 25 таксонов зоопланктона, среди которых 22 таксона руслового планктона (коловратки – 6 таксонов,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 веслоногие ракообразные – по 8 таксонов) и 3 таксона временных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планктеров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>. Коловратки были представлены видами рода</w:t>
      </w:r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Brachionus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Среди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ветвистоусых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ракообразных на верхних участках доминировали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Bosmina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Bosmina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)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longirostris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Lathonura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rectirostris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в дельте –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Diaphonosoma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brachyurum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Веслоногие ракообразные характеризовались развитием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циклопоид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рода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Acantocyclops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Metacyclops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gracilis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gracilis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Временные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планктеры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развивались слабо и были представлены в основном личинками моллюсков и червей. </w:t>
      </w:r>
    </w:p>
    <w:p w:rsidR="00402C85" w:rsidRPr="00AA61C8" w:rsidRDefault="00402C85" w:rsidP="00C9121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Численность по станциям изменялась от 6781 до 49825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экз./м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,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>биомасса – от 47,92 до 264,35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. Средние значения численности и биомассы зоопланктонного сообщества летом составляли 24493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экз./м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 104,34</w:t>
      </w:r>
      <w:r w:rsidR="00400606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, соответственно. Наибольшая биомасса зоопланктона отмечена в районе хутора.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Шмат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за счет интенсивного развития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Calanipeda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aquaedulcis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Основу биомассы зоопланктона на большинстве станций формировали веслоногие ракообразные, составляющие в среднем 79</w:t>
      </w:r>
      <w:r w:rsidR="00F86DF5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% от общей биомассы. Доля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ветвистоусых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ракообразных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в общей биомассе зоопланктона была невелика и в среднем соответствовала 15</w:t>
      </w:r>
      <w:r w:rsidR="007A54DC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>%. В устье р.</w:t>
      </w:r>
      <w:r w:rsidR="007A54DC" w:rsidRPr="00AA61C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Маныч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lastRenderedPageBreak/>
        <w:t>ракообразные составили 74</w:t>
      </w:r>
      <w:r w:rsidR="007A54DC" w:rsidRPr="00AA61C8">
        <w:rPr>
          <w:rFonts w:ascii="Times New Roman" w:eastAsia="Calibri" w:hAnsi="Times New Roman" w:cs="Times New Roman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% от общей биомассы зоопланктона за счет интенсивного развития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Bosmina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longirostris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bookmarkEnd w:id="13"/>
    <w:p w:rsidR="00402C85" w:rsidRPr="00AA61C8" w:rsidRDefault="00402C85" w:rsidP="00C9121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Таким образом, зоопланктон Нижнего Дона в </w:t>
      </w:r>
      <w:r w:rsidR="00D53B5B" w:rsidRPr="00AA61C8">
        <w:rPr>
          <w:rFonts w:ascii="Times New Roman" w:eastAsia="Calibri" w:hAnsi="Times New Roman" w:cs="Times New Roman"/>
          <w:sz w:val="28"/>
          <w:szCs w:val="28"/>
        </w:rPr>
        <w:t>2023 </w:t>
      </w:r>
      <w:r w:rsidRPr="00AA61C8">
        <w:rPr>
          <w:rFonts w:ascii="Times New Roman" w:eastAsia="Calibri" w:hAnsi="Times New Roman" w:cs="Times New Roman"/>
          <w:sz w:val="28"/>
          <w:szCs w:val="28"/>
        </w:rPr>
        <w:t>г</w:t>
      </w:r>
      <w:r w:rsidR="00D53B5B" w:rsidRPr="00AA61C8">
        <w:rPr>
          <w:rFonts w:ascii="Times New Roman" w:eastAsia="Calibri" w:hAnsi="Times New Roman" w:cs="Times New Roman"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характеризовался биомассой на уровне 100-120 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>. Весной на отдельных станциях отмечена биомасса более 500 мг/м</w:t>
      </w:r>
      <w:r w:rsidRPr="00AA61C8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за счет развития крупных форм видов отряда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val="en-US"/>
        </w:rPr>
        <w:t>Calanoida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. Летом в сообществе наблюдались сезонные перестройки структуры, в группе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веслоногих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ракообразных на смену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Eurytemora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affinis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affinis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>и</w:t>
      </w:r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Calanipeda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aquaedulcis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пришли виды рода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Acantocyclops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Mycrocyclops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gracilis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i/>
          <w:sz w:val="28"/>
          <w:szCs w:val="28"/>
          <w:lang w:val="en-US"/>
        </w:rPr>
        <w:t>gracilis</w:t>
      </w:r>
      <w:proofErr w:type="spellEnd"/>
      <w:r w:rsidRPr="00AA61C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В целом уровень развития кормовой базы рыб был достаточно высоким.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AA61C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Макрозообентос</w:t>
      </w:r>
      <w:proofErr w:type="spellEnd"/>
      <w:r w:rsidRPr="00AA61C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р. Дон 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был представлен 18 таксонами из 8 основных групп организмов: </w:t>
      </w:r>
      <w:proofErr w:type="spellStart"/>
      <w:r w:rsidRPr="00AA61C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гидрозои</w:t>
      </w:r>
      <w:proofErr w:type="spellEnd"/>
      <w:r w:rsidRPr="00AA61C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турбеллярии,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малощетинковые черви, многощетинковые черви, брюхоногие моллюски, двустворчатые моллюски, ракообразные и насекомые. По числу зарегистрированных видов доминировали </w:t>
      </w:r>
      <w:proofErr w:type="gramStart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ракообразные</w:t>
      </w:r>
      <w:proofErr w:type="gramEnd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− отмечено 6 таксонов.</w:t>
      </w:r>
    </w:p>
    <w:p w:rsidR="00402C85" w:rsidRPr="00AA61C8" w:rsidRDefault="00402C85" w:rsidP="00C9121F">
      <w:pPr>
        <w:spacing w:after="0" w:line="360" w:lineRule="auto"/>
        <w:ind w:right="14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Численность </w:t>
      </w:r>
      <w:proofErr w:type="spellStart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макрозообентоса</w:t>
      </w:r>
      <w:proofErr w:type="spellEnd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варьировала от 778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экз./м</w:t>
      </w:r>
      <w:proofErr w:type="gramStart"/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7722 экз./м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, в среднем составляя 3630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экз./м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. Биомасса изменялась от 0,82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г/м</w:t>
      </w:r>
      <w:proofErr w:type="gramStart"/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809,25 г/м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, в среднем – 209,88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г/м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. По численности доминировали олигохеты (74 %), основу биомассы составляли двустворчатые моллюски (65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%). Максимальные значения численности были характерны для дельты р. Дон, где на грунтах богатых органикой в массе развивались олигохеты, высокие значения биомассы были отмечены в г. Аксай вследствие скоплений двустворчатых моллюсков.</w:t>
      </w:r>
    </w:p>
    <w:p w:rsidR="00402C85" w:rsidRPr="00AA61C8" w:rsidRDefault="00402C85" w:rsidP="00C9121F">
      <w:pPr>
        <w:spacing w:after="0" w:line="360" w:lineRule="auto"/>
        <w:ind w:right="14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Биомасса кормовой фракции зообентоса в среднем составила 4,1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г/м</w:t>
      </w:r>
      <w:proofErr w:type="gramStart"/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, при этом наименьшее значение отмечено в районе Северского Донца (0,64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г/м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), наибольшее – в районе дельты Дона (8,44</w:t>
      </w:r>
      <w:r w:rsidR="007A54DC"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>г/м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AA6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зоопланктонном сообществе р. Сал определено 26 таксонов зоопланктона, относящихся к четырём основным систематическим группам: коловратки 7 – таксонов, веслоногие ракообразные – 7 таксонов, </w:t>
      </w:r>
      <w:proofErr w:type="spellStart"/>
      <w:r w:rsidRPr="00AA61C8">
        <w:rPr>
          <w:rFonts w:ascii="Times New Roman" w:hAnsi="Times New Roman"/>
          <w:sz w:val="28"/>
          <w:szCs w:val="28"/>
        </w:rPr>
        <w:lastRenderedPageBreak/>
        <w:t>ветвистоусые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ракообразные – 6 таксонов, временные </w:t>
      </w:r>
      <w:proofErr w:type="spellStart"/>
      <w:r w:rsidRPr="00AA61C8">
        <w:rPr>
          <w:rFonts w:ascii="Times New Roman" w:hAnsi="Times New Roman"/>
          <w:sz w:val="28"/>
          <w:szCs w:val="28"/>
        </w:rPr>
        <w:t>планктеры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– 6 таксонов. Численность зоопланктона изменялась от 4752 до 34852 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в среднем составляя – 13457 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биомасса – от 6,254 до 95,839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в среднем составляя – 34,947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. Основу численности составляли виды, относящиеся к коловраткам (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Brachionus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angularis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Brachionus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quadridentatus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Filinia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longise</w:t>
      </w:r>
      <w:r w:rsidRPr="00AA61C8">
        <w:rPr>
          <w:rFonts w:ascii="Times New Roman" w:hAnsi="Times New Roman"/>
          <w:sz w:val="28"/>
          <w:szCs w:val="28"/>
        </w:rPr>
        <w:t>ta</w:t>
      </w:r>
      <w:proofErr w:type="spellEnd"/>
      <w:r w:rsidRPr="00AA61C8">
        <w:rPr>
          <w:rFonts w:ascii="Times New Roman" w:hAnsi="Times New Roman"/>
          <w:sz w:val="28"/>
          <w:szCs w:val="28"/>
        </w:rPr>
        <w:t>), основной вклад в биомассу вносили веслоногие ракообразные (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Eurytemora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velox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Mesocyclops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leuckarti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leuckarti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Metacyclops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gracilis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gracilis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). 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реке </w:t>
      </w:r>
      <w:proofErr w:type="gramStart"/>
      <w:r w:rsidRPr="00AA61C8">
        <w:rPr>
          <w:rFonts w:ascii="Times New Roman" w:hAnsi="Times New Roman"/>
          <w:sz w:val="28"/>
          <w:szCs w:val="28"/>
        </w:rPr>
        <w:t>Большая</w:t>
      </w:r>
      <w:proofErr w:type="gramEnd"/>
      <w:r w:rsidRPr="00AA61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sz w:val="28"/>
          <w:szCs w:val="28"/>
        </w:rPr>
        <w:t>Куберле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обнаружено 8 таксонов зоопланктона: веслоногие ракообразные – 3 таксона, </w:t>
      </w:r>
      <w:proofErr w:type="spellStart"/>
      <w:r w:rsidRPr="00AA61C8">
        <w:rPr>
          <w:rFonts w:ascii="Times New Roman" w:hAnsi="Times New Roman"/>
          <w:sz w:val="28"/>
          <w:szCs w:val="28"/>
        </w:rPr>
        <w:t>меропланктон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– 3 таксона, коловратки – 2 таксона. Численность зоопланктона составляла 1256 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биомасса 3,559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 xml:space="preserve">. Доминирующим видом, как по численности, так и по биомассе являлся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Brachionus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calyciflorus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calyciflorus</w:t>
      </w:r>
      <w:proofErr w:type="spellEnd"/>
      <w:r w:rsidRPr="00AA61C8">
        <w:rPr>
          <w:rFonts w:ascii="Times New Roman" w:hAnsi="Times New Roman"/>
          <w:sz w:val="28"/>
          <w:szCs w:val="28"/>
        </w:rPr>
        <w:t>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р. Малая </w:t>
      </w:r>
      <w:proofErr w:type="spellStart"/>
      <w:r w:rsidRPr="00AA61C8">
        <w:rPr>
          <w:rFonts w:ascii="Times New Roman" w:hAnsi="Times New Roman"/>
          <w:sz w:val="28"/>
          <w:szCs w:val="28"/>
        </w:rPr>
        <w:t>Куберле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обнаружено 7 таксонов зоопланктона: временные </w:t>
      </w:r>
      <w:proofErr w:type="spellStart"/>
      <w:r w:rsidRPr="00AA61C8">
        <w:rPr>
          <w:rFonts w:ascii="Times New Roman" w:hAnsi="Times New Roman"/>
          <w:sz w:val="28"/>
          <w:szCs w:val="28"/>
        </w:rPr>
        <w:t>планктеры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– 3 таксона, веслоногие ракообразные – 2 таксона, </w:t>
      </w:r>
      <w:proofErr w:type="spellStart"/>
      <w:r w:rsidRPr="00AA61C8">
        <w:rPr>
          <w:rFonts w:ascii="Times New Roman" w:hAnsi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ракообразные – 1 таксон, коловратки 1 – таксон. Численность зоопланктона составила 3326 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биомасса 7,428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 xml:space="preserve">. Доминирующим видом, как по численности, так и по биомассе являлся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Eurytemora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velox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>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р. </w:t>
      </w:r>
      <w:proofErr w:type="spellStart"/>
      <w:r w:rsidRPr="00AA61C8">
        <w:rPr>
          <w:rFonts w:ascii="Times New Roman" w:hAnsi="Times New Roman"/>
          <w:sz w:val="28"/>
          <w:szCs w:val="28"/>
        </w:rPr>
        <w:t>Джурак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-Сал определено 10 таксонов зоопланктона, относящихся к трем систематическим группам: коловратки – 4 таксона, веслоногие ракообразные – 4 таксона, </w:t>
      </w:r>
      <w:proofErr w:type="spellStart"/>
      <w:r w:rsidRPr="00AA61C8">
        <w:rPr>
          <w:rFonts w:ascii="Times New Roman" w:hAnsi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ракообразные – 2 таксона. Численность зоопланктона составляла 71891 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биомасса – 332,368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 xml:space="preserve">. Основу численности и биомассы составляли представители вида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Calanipeda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aquaedulcis</w:t>
      </w:r>
      <w:proofErr w:type="spellEnd"/>
      <w:r w:rsidRPr="00AA61C8">
        <w:rPr>
          <w:rFonts w:ascii="Times New Roman" w:hAnsi="Times New Roman"/>
          <w:sz w:val="28"/>
          <w:szCs w:val="28"/>
        </w:rPr>
        <w:t>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р. </w:t>
      </w:r>
      <w:proofErr w:type="gramStart"/>
      <w:r w:rsidRPr="00AA61C8">
        <w:rPr>
          <w:rFonts w:ascii="Times New Roman" w:hAnsi="Times New Roman"/>
          <w:sz w:val="28"/>
          <w:szCs w:val="28"/>
        </w:rPr>
        <w:t>Кара-Сал</w:t>
      </w:r>
      <w:proofErr w:type="gramEnd"/>
      <w:r w:rsidRPr="00AA61C8">
        <w:rPr>
          <w:rFonts w:ascii="Times New Roman" w:hAnsi="Times New Roman"/>
          <w:sz w:val="28"/>
          <w:szCs w:val="28"/>
        </w:rPr>
        <w:t xml:space="preserve"> определено 14 таксонов зоопланктона, относящихся к четырем систематическим группам: коловратки – 5 таксонов, веслоногие ракообразные – 4 таксона, </w:t>
      </w:r>
      <w:proofErr w:type="spellStart"/>
      <w:r w:rsidRPr="00AA61C8">
        <w:rPr>
          <w:rFonts w:ascii="Times New Roman" w:hAnsi="Times New Roman"/>
          <w:sz w:val="28"/>
          <w:szCs w:val="28"/>
        </w:rPr>
        <w:t>ветвистоусые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ракообразные – 4 таксона, </w:t>
      </w:r>
      <w:proofErr w:type="spellStart"/>
      <w:r w:rsidRPr="00AA61C8">
        <w:rPr>
          <w:rFonts w:ascii="Times New Roman" w:hAnsi="Times New Roman"/>
          <w:sz w:val="28"/>
          <w:szCs w:val="28"/>
        </w:rPr>
        <w:t>меропланктон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– 1 таксон. Численность зоопланктона составляла 28184 </w:t>
      </w:r>
      <w:r w:rsidRPr="00AA61C8">
        <w:rPr>
          <w:rFonts w:ascii="Times New Roman" w:hAnsi="Times New Roman"/>
          <w:sz w:val="28"/>
          <w:szCs w:val="28"/>
        </w:rPr>
        <w:lastRenderedPageBreak/>
        <w:t>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биомасса – 80,624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 xml:space="preserve">. Основу численности и биомассы составляли представители семейства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Cyclopidae</w:t>
      </w:r>
      <w:proofErr w:type="spellEnd"/>
      <w:r w:rsidRPr="00AA61C8">
        <w:rPr>
          <w:rFonts w:ascii="Times New Roman" w:hAnsi="Times New Roman"/>
          <w:sz w:val="28"/>
          <w:szCs w:val="28"/>
        </w:rPr>
        <w:t>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р. </w:t>
      </w:r>
      <w:proofErr w:type="spellStart"/>
      <w:r w:rsidRPr="00AA61C8">
        <w:rPr>
          <w:rFonts w:ascii="Times New Roman" w:hAnsi="Times New Roman"/>
          <w:sz w:val="28"/>
          <w:szCs w:val="28"/>
        </w:rPr>
        <w:t>Акшибай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обнаружено 7 таксонов зоопланктона: </w:t>
      </w:r>
      <w:proofErr w:type="gramStart"/>
      <w:r w:rsidRPr="00AA61C8">
        <w:rPr>
          <w:rFonts w:ascii="Times New Roman" w:hAnsi="Times New Roman"/>
          <w:sz w:val="28"/>
          <w:szCs w:val="28"/>
        </w:rPr>
        <w:t>временные</w:t>
      </w:r>
      <w:proofErr w:type="gramEnd"/>
      <w:r w:rsidRPr="00AA61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sz w:val="28"/>
          <w:szCs w:val="28"/>
        </w:rPr>
        <w:t>планктеры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– 3 таксона, </w:t>
      </w:r>
      <w:proofErr w:type="spellStart"/>
      <w:r w:rsidRPr="00AA61C8">
        <w:rPr>
          <w:rFonts w:ascii="Times New Roman" w:hAnsi="Times New Roman"/>
          <w:sz w:val="28"/>
          <w:szCs w:val="28"/>
        </w:rPr>
        <w:t>копеподы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– 2 таксона, веслоногие ракообразные – 2 таксона. Численность зоопланктона составила 27219 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>, биомасса 200,809 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3</w:t>
      </w:r>
      <w:r w:rsidRPr="00AA61C8">
        <w:rPr>
          <w:rFonts w:ascii="Times New Roman" w:hAnsi="Times New Roman"/>
          <w:sz w:val="28"/>
          <w:szCs w:val="28"/>
        </w:rPr>
        <w:t xml:space="preserve">. Доминирующим видом, как по численности, так и по биомассе являлся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Microcyclops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varicans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varicans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>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>В бентосном сообществе летом р. Сал было определено 10 таксонов бентосных организмов, относящихся к 5 основным группам: брюхоногие моллюски, двустворчатые моллюски, насекомые и ракообразные. Остаточная численность бентосных организмов изменялась от 347 до 3694 экз./м</w:t>
      </w:r>
      <w:proofErr w:type="gramStart"/>
      <w:r w:rsidRPr="00AA61C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A61C8">
        <w:rPr>
          <w:rFonts w:ascii="Times New Roman" w:hAnsi="Times New Roman"/>
          <w:sz w:val="28"/>
          <w:szCs w:val="28"/>
        </w:rPr>
        <w:t>, в среднем составляя 2183 экз./м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2</w:t>
      </w:r>
      <w:r w:rsidRPr="00AA61C8">
        <w:rPr>
          <w:rFonts w:ascii="Times New Roman" w:hAnsi="Times New Roman"/>
          <w:sz w:val="28"/>
          <w:szCs w:val="28"/>
        </w:rPr>
        <w:t>, биомасса – от 0,04 до 1580,3 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2</w:t>
      </w:r>
      <w:r w:rsidRPr="00AA61C8">
        <w:rPr>
          <w:rFonts w:ascii="Times New Roman" w:hAnsi="Times New Roman"/>
          <w:sz w:val="28"/>
          <w:szCs w:val="28"/>
        </w:rPr>
        <w:t>, в среднем составляя 337 мг/м</w:t>
      </w:r>
      <w:r w:rsidRPr="00AA61C8">
        <w:rPr>
          <w:rFonts w:ascii="Times New Roman" w:hAnsi="Times New Roman"/>
          <w:sz w:val="28"/>
          <w:szCs w:val="28"/>
          <w:vertAlign w:val="superscript"/>
        </w:rPr>
        <w:t>2</w:t>
      </w:r>
      <w:r w:rsidRPr="00AA61C8">
        <w:rPr>
          <w:rFonts w:ascii="Times New Roman" w:hAnsi="Times New Roman"/>
          <w:sz w:val="28"/>
          <w:szCs w:val="28"/>
        </w:rPr>
        <w:t>. Основу численности составляли виды, относящиеся к двустворчатым моллюскам (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Dreissena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polymorpha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Pallas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, 1771,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Viviparus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viviparus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Linnaeus</w:t>
      </w:r>
      <w:proofErr w:type="spellEnd"/>
      <w:r w:rsidRPr="00AA61C8">
        <w:rPr>
          <w:rFonts w:ascii="Times New Roman" w:hAnsi="Times New Roman"/>
          <w:sz w:val="28"/>
          <w:szCs w:val="28"/>
        </w:rPr>
        <w:t>, 1758), малощетинковым червям (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Chironomidae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r w:rsidRPr="00AA61C8">
        <w:rPr>
          <w:rFonts w:ascii="Times New Roman" w:hAnsi="Times New Roman"/>
          <w:sz w:val="28"/>
          <w:szCs w:val="28"/>
        </w:rPr>
        <w:t>(</w:t>
      </w:r>
      <w:proofErr w:type="spellStart"/>
      <w:r w:rsidRPr="00AA61C8">
        <w:rPr>
          <w:rFonts w:ascii="Times New Roman" w:hAnsi="Times New Roman"/>
          <w:sz w:val="28"/>
          <w:szCs w:val="28"/>
        </w:rPr>
        <w:t>larv</w:t>
      </w:r>
      <w:proofErr w:type="spellEnd"/>
      <w:r w:rsidRPr="00AA61C8">
        <w:rPr>
          <w:rFonts w:ascii="Times New Roman" w:hAnsi="Times New Roman"/>
          <w:sz w:val="28"/>
          <w:szCs w:val="28"/>
        </w:rPr>
        <w:t>.) n/</w:t>
      </w:r>
      <w:proofErr w:type="spellStart"/>
      <w:r w:rsidRPr="00AA61C8">
        <w:rPr>
          <w:rFonts w:ascii="Times New Roman" w:hAnsi="Times New Roman"/>
          <w:sz w:val="28"/>
          <w:szCs w:val="28"/>
        </w:rPr>
        <w:t>det</w:t>
      </w:r>
      <w:proofErr w:type="spellEnd"/>
      <w:r w:rsidRPr="00AA61C8">
        <w:rPr>
          <w:rFonts w:ascii="Times New Roman" w:hAnsi="Times New Roman"/>
          <w:sz w:val="28"/>
          <w:szCs w:val="28"/>
        </w:rPr>
        <w:t>) и ракообразным (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Dikerogammarus</w:t>
      </w:r>
      <w:proofErr w:type="spellEnd"/>
      <w:r w:rsidRPr="00AA61C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haemobaphes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sz w:val="28"/>
          <w:szCs w:val="28"/>
        </w:rPr>
        <w:t>Eichwald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, 1841, </w:t>
      </w:r>
      <w:proofErr w:type="spellStart"/>
      <w:r w:rsidRPr="00AA61C8">
        <w:rPr>
          <w:rFonts w:ascii="Times New Roman" w:hAnsi="Times New Roman"/>
          <w:i/>
          <w:sz w:val="28"/>
          <w:szCs w:val="28"/>
        </w:rPr>
        <w:t>Gammaridae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sz w:val="28"/>
          <w:szCs w:val="28"/>
        </w:rPr>
        <w:t>sp</w:t>
      </w:r>
      <w:proofErr w:type="spellEnd"/>
      <w:r w:rsidRPr="00AA61C8">
        <w:rPr>
          <w:rFonts w:ascii="Times New Roman" w:hAnsi="Times New Roman"/>
          <w:sz w:val="28"/>
          <w:szCs w:val="28"/>
        </w:rPr>
        <w:t>.). Наибольшее видовое разнообразие, численность и биомасса были отмечены в р. Сал.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Уровни суммарного остаточного зоопланктона и бентоса в водоемах свидетельствовали с </w:t>
      </w:r>
      <w:proofErr w:type="gramStart"/>
      <w:r w:rsidRPr="00AA61C8">
        <w:rPr>
          <w:rFonts w:ascii="Times New Roman" w:hAnsi="Times New Roman"/>
          <w:sz w:val="28"/>
          <w:szCs w:val="28"/>
        </w:rPr>
        <w:t>высокой</w:t>
      </w:r>
      <w:proofErr w:type="gramEnd"/>
      <w:r w:rsidRPr="00AA61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hAnsi="Times New Roman"/>
          <w:sz w:val="28"/>
          <w:szCs w:val="28"/>
        </w:rPr>
        <w:t>выедаемости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зоопланктонных донных сообществ раками всех возрастных групп. 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Половозрелые раки питаются смешанной (животной и растительной пищей) с преобладанием того или иного компонента в зависимости от наличия кормовых организмов, возраста и физиологического состояния животных. Спектр питания раков меняется с возрастом. Молодь 1-2см питается в основном животной пищей (75 % массы пищевого комка), среди которой преобладали хирономиды, дафнии, </w:t>
      </w:r>
      <w:proofErr w:type="spellStart"/>
      <w:r w:rsidRPr="00AA61C8">
        <w:rPr>
          <w:rFonts w:ascii="Times New Roman" w:hAnsi="Times New Roman"/>
          <w:sz w:val="28"/>
          <w:szCs w:val="28"/>
        </w:rPr>
        <w:t>остракоды</w:t>
      </w:r>
      <w:proofErr w:type="spellEnd"/>
      <w:r w:rsidRPr="00AA61C8">
        <w:rPr>
          <w:rFonts w:ascii="Times New Roman" w:hAnsi="Times New Roman"/>
          <w:sz w:val="28"/>
          <w:szCs w:val="28"/>
        </w:rPr>
        <w:t>, и только 25 % составляет нитчатка. В рационе молоди длиною 2-4</w:t>
      </w:r>
      <w:r w:rsidR="00EB43BB" w:rsidRPr="00AA61C8">
        <w:rPr>
          <w:rFonts w:ascii="Times New Roman" w:hAnsi="Times New Roman"/>
          <w:sz w:val="28"/>
          <w:szCs w:val="28"/>
        </w:rPr>
        <w:t> </w:t>
      </w:r>
      <w:r w:rsidRPr="00AA61C8">
        <w:rPr>
          <w:rFonts w:ascii="Times New Roman" w:hAnsi="Times New Roman"/>
          <w:sz w:val="28"/>
          <w:szCs w:val="28"/>
        </w:rPr>
        <w:t>см доминируют бокоплавы (75</w:t>
      </w:r>
      <w:r w:rsidR="00EB43BB" w:rsidRPr="00AA61C8">
        <w:rPr>
          <w:rFonts w:ascii="Times New Roman" w:hAnsi="Times New Roman"/>
          <w:sz w:val="28"/>
          <w:szCs w:val="28"/>
        </w:rPr>
        <w:t> </w:t>
      </w:r>
      <w:r w:rsidRPr="00AA61C8">
        <w:rPr>
          <w:rFonts w:ascii="Times New Roman" w:hAnsi="Times New Roman"/>
          <w:sz w:val="28"/>
          <w:szCs w:val="28"/>
        </w:rPr>
        <w:t xml:space="preserve">%), насекомые (16 %) и моллюски (8,6 %). Крупные особи </w:t>
      </w:r>
      <w:r w:rsidRPr="00AA61C8">
        <w:rPr>
          <w:rFonts w:ascii="Times New Roman" w:hAnsi="Times New Roman"/>
          <w:sz w:val="28"/>
          <w:szCs w:val="28"/>
        </w:rPr>
        <w:lastRenderedPageBreak/>
        <w:t xml:space="preserve">потребляли в основном рыбные остатки (62 %), которые начинали появляться в желудках молоди длиной 3 см, и моллюсков (16 %). Оптимальная кормовая база для питания молоди речного рака составляет в естественных водоемах 0,3 г/м³ (биомасса зоопланктона), и 965 мг/м² (бентос). Пищевой спектр молоди меняется по мере роста. В рационе преобладает животная пища (80 % массы пищевого комка). После перехода к самостоятельному образу жизни сеголетки питаются дафниями (59%) и </w:t>
      </w:r>
      <w:proofErr w:type="spellStart"/>
      <w:r w:rsidRPr="00AA61C8">
        <w:rPr>
          <w:rFonts w:ascii="Times New Roman" w:hAnsi="Times New Roman"/>
          <w:sz w:val="28"/>
          <w:szCs w:val="28"/>
        </w:rPr>
        <w:t>хирономидами</w:t>
      </w:r>
      <w:proofErr w:type="spellEnd"/>
      <w:r w:rsidRPr="00AA61C8">
        <w:rPr>
          <w:rFonts w:ascii="Times New Roman" w:hAnsi="Times New Roman"/>
          <w:sz w:val="28"/>
          <w:szCs w:val="28"/>
        </w:rPr>
        <w:t xml:space="preserve"> (25 %). По мере роста доля дафний в рационе сокращается до 5 %, а в пище двухлеток исчезает вообще. Молодь всех размерных групп потребляет хирономид, причем в пище сеголеток доля уменьшается с 25 до 5 % и снова возрастает у двухлеток до 24 %. Достигнув длины 2 см, сеголетки начинают питаться другими насекомыми (18-45 %), в частности личинками ручейников, поденок, веснянок, стрекоз и других (21-27 %).</w:t>
      </w:r>
    </w:p>
    <w:p w:rsidR="00D53B5B" w:rsidRPr="00AA61C8" w:rsidRDefault="00D53B5B" w:rsidP="00D53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color w:val="000000"/>
          <w:sz w:val="28"/>
          <w:szCs w:val="28"/>
        </w:rPr>
        <w:t xml:space="preserve">Полученные данные свидетельствуют, что во всех обследованных </w:t>
      </w:r>
      <w:r w:rsidR="000B5F11" w:rsidRPr="00AA61C8">
        <w:rPr>
          <w:rFonts w:ascii="Times New Roman" w:hAnsi="Times New Roman"/>
          <w:color w:val="000000"/>
          <w:sz w:val="28"/>
          <w:szCs w:val="28"/>
        </w:rPr>
        <w:t xml:space="preserve">водных объектах в 2023 г. </w:t>
      </w:r>
      <w:r w:rsidRPr="00AA61C8">
        <w:rPr>
          <w:rFonts w:ascii="Times New Roman" w:hAnsi="Times New Roman"/>
          <w:color w:val="000000"/>
          <w:sz w:val="28"/>
          <w:szCs w:val="28"/>
        </w:rPr>
        <w:t xml:space="preserve">количественные показатели развития трофических ресурсов обеспечивали достаточную кормовую базу для роста и нагула раков всех возрастов. </w:t>
      </w:r>
      <w:r w:rsidRPr="00AA61C8">
        <w:rPr>
          <w:rFonts w:ascii="Times New Roman" w:hAnsi="Times New Roman"/>
          <w:sz w:val="28"/>
          <w:szCs w:val="28"/>
        </w:rPr>
        <w:t>Условия среды обитания являлись благоприятными для жизнедеятельности раков в водных объектах Ростовской области.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в) список видов водных биоресурсов в районах добычи (вылова), в отношении которых разработаны материалы ОДУ (материалы корректировки ОДУ).</w:t>
      </w:r>
    </w:p>
    <w:p w:rsidR="00060132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Минсельхоза России от 08.09.2021</w:t>
      </w:r>
      <w:r w:rsidR="007A54D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 618 «Об утверждении перечня видов водных биологических ресурсов, в отношении которых устанавливается общий допустимый улов», зарегистрированным Минюстом России 15.10.2021</w:t>
      </w:r>
      <w:r w:rsidR="007A54D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(регистрационный № 65432),</w:t>
      </w:r>
      <w:r w:rsidR="00060132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раков в бассейне р. Сал и р. Дон, включая водоемы для осуществления промышленного рыболовства разрабатывается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ОДУ</w:t>
      </w:r>
      <w:r w:rsidR="00060132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единицы промыслового регулирования).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г) характеристика раков в водных объектах Ростовской области, в отношении которых разработаны материалы ОДУ: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информация о виде (видах) водных биоресурсов, включая ретроспективу состояния популяции данного вида (видов) и ретроспективу его (их) добычи (вылова);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краткое описание ресурсных исследований и иных источников информации, которые являются основой для разработки материалов ОДУ (материалов корректировки ОДУ) в отношении этого вида (видов) водных биоресурсов с указанием результатов таких исследований;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описание состояния видов водных биоресурсов в районе добычи (вылова) на конец года, предшествующего году разработки и направления материалов ОДУ (материалов корректировки ОДУ) на государственную экологическую экспертизу;</w:t>
      </w:r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количественные показатели ОДУ водных биоресурсов на предстоящий год или количественные показатели изменений в ранее установленный ОДУ, а также расчеты и (или) качественные аргументированные оценки, обосновывающие указанные показатели;</w:t>
      </w:r>
      <w:proofErr w:type="gramEnd"/>
    </w:p>
    <w:p w:rsidR="00402C85" w:rsidRPr="00AA61C8" w:rsidRDefault="00402C8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Сделаны выводы о том, что предлагаемый ОДУ позволит осуществлять устойчивое неистощимое рыболовство данного вида (видов) водных биоресурсов в районе добычи (вылова).</w:t>
      </w:r>
    </w:p>
    <w:p w:rsidR="00402C85" w:rsidRPr="00AA61C8" w:rsidRDefault="00402C85" w:rsidP="00C912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 w:eastAsia="ru-RU"/>
        </w:rPr>
      </w:pPr>
      <w:r w:rsidRPr="00AA6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Раки</w:t>
      </w:r>
      <w:r w:rsidRPr="00AA61C8">
        <w:rPr>
          <w:rFonts w:ascii="Times New Roman" w:eastAsia="Times New Roman" w:hAnsi="Times New Roman" w:cs="Times New Roman"/>
          <w:b/>
          <w:sz w:val="28"/>
          <w:szCs w:val="28"/>
          <w:lang w:val="fr-FR" w:eastAsia="ru-RU"/>
        </w:rPr>
        <w:t xml:space="preserve"> 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>(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виды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 xml:space="preserve"> 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родов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fr-FR"/>
        </w:rPr>
        <w:t xml:space="preserve"> Astacus,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 xml:space="preserve"> 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fr-FR"/>
        </w:rPr>
        <w:t>Pontastacu</w:t>
      </w:r>
      <w:r w:rsidR="003E25BC" w:rsidRPr="00AA61C8">
        <w:rPr>
          <w:rFonts w:ascii="Times New Roman" w:eastAsia="SimSun" w:hAnsi="Times New Roman"/>
          <w:b/>
          <w:i/>
          <w:sz w:val="28"/>
          <w:szCs w:val="28"/>
          <w:lang w:val="fr-FR"/>
        </w:rPr>
        <w:t>s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>),</w:t>
      </w:r>
      <w:r w:rsidRPr="00AA61C8">
        <w:rPr>
          <w:rFonts w:ascii="Times New Roman" w:eastAsia="Times New Roman" w:hAnsi="Times New Roman" w:cs="Times New Roman"/>
          <w:b/>
          <w:sz w:val="28"/>
          <w:szCs w:val="28"/>
          <w:lang w:val="fr-FR" w:eastAsia="ru-RU"/>
        </w:rPr>
        <w:t xml:space="preserve"> </w:t>
      </w:r>
    </w:p>
    <w:p w:rsidR="00402C85" w:rsidRPr="00AA61C8" w:rsidRDefault="00402C85" w:rsidP="0099608F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 Дон, включая водоемы поймы (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13129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12D43" w:rsidRPr="00AA61C8" w:rsidRDefault="00312D43" w:rsidP="0099608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качестве доступного информационного обеспечения имеются материалы, собранные в ходе проведения учетных съемок в р.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Дон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включая водоемы поймы в 2012–2023 гг., данные официальной промысловой статистики о вылове раков в 2012–2023 гг., о разрешенном количестве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2012–2023 гг. и объемах ННН-промысла в 2021–2023 гг., предоставленные Азово-Черноморским территориальным управлением Росрыболовства (АЧТУ).</w:t>
      </w:r>
    </w:p>
    <w:p w:rsidR="00312D43" w:rsidRPr="00AA61C8" w:rsidRDefault="00312D43" w:rsidP="0099608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Информационное обеспечение прогноза соответствует II уровню [</w:t>
      </w:r>
      <w:bookmarkStart w:id="14" w:name="_Hlk158213519"/>
      <w:r w:rsidRPr="00AA61C8">
        <w:rPr>
          <w:rFonts w:ascii="Times New Roman" w:eastAsia="SimSun" w:hAnsi="Times New Roman" w:cs="Times New Roman"/>
          <w:sz w:val="28"/>
          <w:szCs w:val="28"/>
        </w:rPr>
        <w:t>Приказ Росрыболовства от 06.02.2015 г. № 104].</w:t>
      </w:r>
      <w:bookmarkEnd w:id="14"/>
    </w:p>
    <w:p w:rsidR="00312D43" w:rsidRPr="00AA61C8" w:rsidRDefault="00312D43" w:rsidP="009960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>В 2023 г. исследования состояния, распределения, численности и биомассы популяций раков в промысловых водоемах Ростовской области (р. Дон, включая водоемы поймы) проводили в течение мая-ноября 2023 г. Собраны материалы по условиям обитания, биологии речного рака, пространственному распределению, половой и размерно-массовой структуре популяций, встречаемости заболеваний, наличию заморных явлений в водоемах. Проведен мониторинг промысла.</w:t>
      </w: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/>
          <w:bCs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Исследования проводились на 5 станциях в р. Дон и пойменных водоемах. Карта-схема расположения учетных станций в р. Дон, </w:t>
      </w:r>
      <w:proofErr w:type="gramStart"/>
      <w:r w:rsidRPr="00AA61C8">
        <w:rPr>
          <w:rFonts w:ascii="Times New Roman" w:hAnsi="Times New Roman"/>
          <w:sz w:val="28"/>
          <w:szCs w:val="28"/>
        </w:rPr>
        <w:t xml:space="preserve">включая водоемы поймы представлена на </w:t>
      </w:r>
      <w:r w:rsidRPr="00AA61C8">
        <w:rPr>
          <w:rFonts w:ascii="Times New Roman" w:eastAsia="SimSun" w:hAnsi="Times New Roman"/>
          <w:bCs/>
          <w:sz w:val="28"/>
          <w:szCs w:val="28"/>
        </w:rPr>
        <w:t>рисунке</w:t>
      </w:r>
      <w:proofErr w:type="gramEnd"/>
      <w:r w:rsidRPr="00AA61C8">
        <w:rPr>
          <w:rFonts w:ascii="Times New Roman" w:eastAsia="SimSun" w:hAnsi="Times New Roman"/>
          <w:bCs/>
          <w:sz w:val="28"/>
          <w:szCs w:val="28"/>
        </w:rPr>
        <w:t xml:space="preserve"> 1. </w:t>
      </w:r>
    </w:p>
    <w:p w:rsidR="00312D43" w:rsidRPr="00AA61C8" w:rsidRDefault="00312D43" w:rsidP="00312D43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AA61C8">
        <w:rPr>
          <w:noProof/>
          <w:lang w:eastAsia="ru-RU"/>
        </w:rPr>
        <w:drawing>
          <wp:inline distT="0" distB="0" distL="0" distR="0" wp14:anchorId="7BF4166D" wp14:editId="5E0D5E10">
            <wp:extent cx="5187615" cy="2743200"/>
            <wp:effectExtent l="0" t="0" r="0" b="0"/>
            <wp:docPr id="6" name="Рисунок 6" descr="C:\Users\KotovSV\Downloads\Без названия_08-11-2023_10-28-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KotovSV\Downloads\Без названия_08-11-2023_10-28-5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72" cy="27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43" w:rsidRPr="00AA61C8" w:rsidRDefault="00312D43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Рисунок 1 – Карта-схема расположения станций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астакологических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съемок в р. Дон, включая водоемы поймы в 2012–2023 гг.</w:t>
      </w:r>
    </w:p>
    <w:p w:rsidR="0099608F" w:rsidRPr="00AA61C8" w:rsidRDefault="0099608F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pacing w:val="-6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качестве орудий лова использовались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 размером (шагом) ячеи 16 мм, и сак донской конструкции. Собранный и проанализированный материал в 2023 г. получен из</w:t>
      </w:r>
      <w:r w:rsidRPr="00AA61C8"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 уловов 390 </w:t>
      </w:r>
      <w:proofErr w:type="spellStart"/>
      <w:r w:rsidRPr="00AA61C8">
        <w:rPr>
          <w:rFonts w:ascii="Times New Roman" w:eastAsia="SimSun" w:hAnsi="Times New Roman" w:cs="Times New Roman"/>
          <w:spacing w:val="-6"/>
          <w:sz w:val="28"/>
          <w:szCs w:val="28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 и 12 тралений при помощи сака донской конструкции. Биологический анализ заключался в учете размерно-массовых и половых характеристик особей, выполнен для 920 раков. </w:t>
      </w: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pacing w:val="-6"/>
          <w:sz w:val="28"/>
          <w:szCs w:val="28"/>
        </w:rPr>
      </w:pPr>
    </w:p>
    <w:p w:rsidR="00402C85" w:rsidRPr="00AA61C8" w:rsidRDefault="00402C85" w:rsidP="0099608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Обоснование выбора методов оценки запаса</w:t>
      </w:r>
    </w:p>
    <w:p w:rsidR="000B5F11" w:rsidRPr="00AA61C8" w:rsidRDefault="000B5F11" w:rsidP="000B5F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водоемах Ростовской области раки обитают повсеместно и представлены видом рода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Pontastacus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Р.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cubanicus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в отношении которого осуществляется промышленное рыболовство. Сбор материала проводили по сетке станций утвержденной Программой научно-исследовательских работ (рисунок 1).</w:t>
      </w:r>
    </w:p>
    <w:p w:rsidR="000B5F11" w:rsidRPr="00AA61C8" w:rsidRDefault="000B5F11" w:rsidP="000B5F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Учитывая имеющееся информационное обеспечение, для прогнозирования состояния запаса раков с двухгодичной заблаговременностью невозможно использовать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когортные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модели I информационного уровня. Это обусловлено отсутствием у раков тканей, позволяющих идентифицировать их возраст, темп роста и темпы популяционных процессов естественной смертности с приемлемой для корректного использования данного метода оценки запаса и ОДУ. </w:t>
      </w:r>
    </w:p>
    <w:p w:rsidR="000B5F11" w:rsidRPr="00AA61C8" w:rsidRDefault="000B5F11" w:rsidP="000B5F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Наличие промысловой статистики о величинах общего годового вылова и количества разрешенных орудий лова за период 2012–2023 г. позволяет отнести информационное обеспечение прогноза ко II-информационному уровню. Имеющийся ряд данных за 11 лет с учетом методических рекомендаций для материалов, обосновывающих ОДУ [Бабаян, и др., 2018] может быть обработан при помощи продукционных моделей. </w:t>
      </w:r>
    </w:p>
    <w:p w:rsidR="000B5F11" w:rsidRPr="00AA61C8" w:rsidRDefault="000B5F11" w:rsidP="000B5F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Тем не менее, имеющаяся высокая доля неопределенности в данных промысловой статистики и отсутствие непрерывных оценок объемов ННН-промысла требует априорной параметризации модели, с учетом выполненных ранее оценок запаса прямым учетом, а также включения в модель алгоритма корректировки объемов вылова в сторону увеличения для частичной компенсации влияния ННН-промысла. </w:t>
      </w:r>
    </w:p>
    <w:p w:rsidR="00402C85" w:rsidRPr="00AA61C8" w:rsidRDefault="000B5F11" w:rsidP="000B5F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связи с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вышеизложенным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, для оценки промыслового запаса и общего допустимого улова раков в р. Дон, включая водоемы поймы, использовался программный комплекс JABBA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Mourato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et.al., 2018;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Winker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et.al., 2019;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Sant’Ana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et.al., 2020]. В отличие от большинства других программных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пакетов, программный комплекс JABBA позволяет выполнять априорную параметризацию модели и производить расширенную диагностику полученных результатов. Комплекс JABBA позволяет реализовать продукционные модели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Шефера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Фокса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Пелла-Томлинсона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оценить параметры r, K, q продукционного уравнения с учетом априорных допущений.</w:t>
      </w:r>
    </w:p>
    <w:p w:rsidR="000B5F11" w:rsidRPr="00AA61C8" w:rsidRDefault="000B5F11" w:rsidP="000B5F11">
      <w:pPr>
        <w:spacing w:after="0" w:line="360" w:lineRule="auto"/>
        <w:ind w:firstLine="709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312D43" w:rsidRPr="00AA61C8" w:rsidRDefault="00312D43" w:rsidP="000B5F11">
      <w:pPr>
        <w:spacing w:after="0" w:line="360" w:lineRule="auto"/>
        <w:ind w:firstLine="709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Ретроспективный анализ состояния запаса и промысла</w:t>
      </w:r>
    </w:p>
    <w:p w:rsidR="000B5F11" w:rsidRPr="00AA61C8" w:rsidRDefault="000B5F11" w:rsidP="000B5F1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bookmarkStart w:id="15" w:name="_Hlk64211156"/>
      <w:r w:rsidRPr="00AA61C8">
        <w:rPr>
          <w:rFonts w:ascii="Times New Roman" w:eastAsia="SimSun" w:hAnsi="Times New Roman"/>
          <w:sz w:val="28"/>
          <w:szCs w:val="28"/>
        </w:rPr>
        <w:t>Популяция раков в р. Дон, включая водоемы поймы, как правило, включают 9–13 размерных групп. Облавливаемая часть популяции, традиционными для Ростовской области орудиями лова (</w:t>
      </w:r>
      <w:proofErr w:type="spellStart"/>
      <w:r w:rsidRPr="00AA61C8">
        <w:rPr>
          <w:rFonts w:ascii="Times New Roman" w:eastAsia="SimSun" w:hAnsi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/>
          <w:sz w:val="28"/>
          <w:szCs w:val="28"/>
        </w:rPr>
        <w:t xml:space="preserve">), в основном представлена 6 размерными группами [Глушко, Глотова, 2015]. Промысловую часть популяции составляют раки длиной более 10 см.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Среди них во всех промысловых водоемах доминируют особи длиной 10,1–12,0 см (условно принятые как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 промысловая группа). Особей размером 12,1–14,0 см относят к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II</w:t>
      </w:r>
      <w:r w:rsidRPr="00AA61C8">
        <w:rPr>
          <w:rFonts w:ascii="Times New Roman" w:eastAsia="SimSun" w:hAnsi="Times New Roman" w:cs="Times New Roman"/>
          <w:sz w:val="28"/>
          <w:szCs w:val="28"/>
        </w:rPr>
        <w:t> промысловой группе. Крупные раки (более 14 см) в последние годы в уловах малочисленны. Раки размером менее 10 см составляют группы пополнения промысловой части популяций. Так особи длиной 9,1–10,0 см пополнят промысловые запасы через год, раки длиной 7,1–9,0 см – через 2-3 года проведения исследований.</w:t>
      </w:r>
    </w:p>
    <w:p w:rsidR="000B5F11" w:rsidRPr="00AA61C8" w:rsidRDefault="000B5F11" w:rsidP="00C447C2">
      <w:pPr>
        <w:tabs>
          <w:tab w:val="left" w:pos="192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Размерная структура скоплений раков, зарегистрированная в учетных орудиях лова (рисунок 2), свидетельствует о наличии двух различных периодов состояния скоплений раков.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 период 2018–2020 гг. модальный класс уловов был представлен первой промысловой группой со средней длиной 11,1–11,8 см. В последующий период, 2021–2022 гг., основу структуры скоплений составляли особи непромысловых размеров, в интервалах длин менее 10 см. Средняя длина облавливаемых скоплений в данный период составляла 9,6–9,9 см. В 2023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г. модальный класс уловов был представлен первой промысловой группой со средней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длиной 10,6 см.</w:t>
      </w:r>
    </w:p>
    <w:p w:rsidR="000B5F11" w:rsidRPr="00AA61C8" w:rsidRDefault="000B5F11" w:rsidP="00C447C2">
      <w:pPr>
        <w:tabs>
          <w:tab w:val="left" w:pos="192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5150"/>
      </w:tblGrid>
      <w:tr w:rsidR="000B5F11" w:rsidRPr="00AA61C8" w:rsidTr="00E20CBF">
        <w:tc>
          <w:tcPr>
            <w:tcW w:w="4942" w:type="dxa"/>
            <w:shd w:val="clear" w:color="auto" w:fill="auto"/>
          </w:tcPr>
          <w:p w:rsidR="000B5F11" w:rsidRPr="00AA61C8" w:rsidRDefault="000B5F11" w:rsidP="00C447C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E7F6D" wp14:editId="0FCB5CDB">
                  <wp:extent cx="2733040" cy="2284095"/>
                  <wp:effectExtent l="0" t="0" r="10160" b="20955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686" w:type="dxa"/>
            <w:shd w:val="clear" w:color="auto" w:fill="auto"/>
          </w:tcPr>
          <w:p w:rsidR="000B5F11" w:rsidRPr="00AA61C8" w:rsidRDefault="000B5F11" w:rsidP="00C447C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B5F263" wp14:editId="6A20759C">
                  <wp:extent cx="3162300" cy="2284095"/>
                  <wp:effectExtent l="0" t="0" r="0" b="1905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0B5F11" w:rsidRPr="00AA61C8" w:rsidTr="00E20CBF">
        <w:tc>
          <w:tcPr>
            <w:tcW w:w="4942" w:type="dxa"/>
            <w:shd w:val="clear" w:color="auto" w:fill="auto"/>
          </w:tcPr>
          <w:p w:rsidR="000B5F11" w:rsidRPr="00AA61C8" w:rsidRDefault="000B5F11" w:rsidP="00C447C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CE3F8" wp14:editId="72D29C6C">
                  <wp:extent cx="2733040" cy="2213610"/>
                  <wp:effectExtent l="0" t="0" r="10160" b="1524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686" w:type="dxa"/>
            <w:shd w:val="clear" w:color="auto" w:fill="auto"/>
          </w:tcPr>
          <w:p w:rsidR="000B5F11" w:rsidRPr="00AA61C8" w:rsidRDefault="000B5F11" w:rsidP="00C447C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7DAB1" wp14:editId="521D6ABA">
                  <wp:extent cx="3162300" cy="2171700"/>
                  <wp:effectExtent l="0" t="0" r="0" b="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0B5F11" w:rsidRPr="00AA61C8" w:rsidTr="00E20CBF">
        <w:tc>
          <w:tcPr>
            <w:tcW w:w="4942" w:type="dxa"/>
            <w:shd w:val="clear" w:color="auto" w:fill="auto"/>
          </w:tcPr>
          <w:p w:rsidR="000B5F11" w:rsidRPr="00AA61C8" w:rsidRDefault="000B5F11" w:rsidP="00C447C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444C6" wp14:editId="4C1F4CA6">
                  <wp:extent cx="2733040" cy="2266950"/>
                  <wp:effectExtent l="0" t="0" r="10160" b="0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686" w:type="dxa"/>
            <w:shd w:val="clear" w:color="auto" w:fill="auto"/>
          </w:tcPr>
          <w:p w:rsidR="000B5F11" w:rsidRPr="00AA61C8" w:rsidRDefault="000B5F11" w:rsidP="00C447C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C6BA5" wp14:editId="284A9600">
                  <wp:extent cx="3219450" cy="2311400"/>
                  <wp:effectExtent l="0" t="0" r="0" b="1270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0B5F11" w:rsidRPr="00AA61C8" w:rsidRDefault="000B5F11" w:rsidP="00C447C2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</w:rPr>
      </w:pPr>
    </w:p>
    <w:p w:rsidR="000B5F11" w:rsidRPr="00AA61C8" w:rsidRDefault="000B5F11" w:rsidP="00C447C2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2 – Размерная структура популяции раков в р. Дон, включая водоемы поймы, в 2018-2023 гг.</w:t>
      </w:r>
    </w:p>
    <w:p w:rsidR="000B5F11" w:rsidRPr="00AA61C8" w:rsidRDefault="000B5F11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0B5F11" w:rsidRPr="00AA61C8" w:rsidRDefault="000B5F11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В 2012–2020 гг. наблюдался постепенный рост промыслового запаса с 5,5 т до 15,6 т в 2020 г. В период 2021–2023 гг. отмечено уменьшение промыслового запаса до уровня 4,0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т в 2023 г. (таблица 1</w:t>
      </w:r>
      <w:r w:rsidR="00AE2E47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>). Снижение величины промыслового запаса сопровождалось ухудшением размерных характеристик облавливаемой части популяции (рисунок 2).</w:t>
      </w:r>
    </w:p>
    <w:p w:rsidR="000B5F11" w:rsidRPr="00AA61C8" w:rsidRDefault="000B5F11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</w:rPr>
        <w:t xml:space="preserve">Оценку запасов раков в р. Дон, включая водоемы поймы до 2021 г. выполняли посредством методов прямого учета [Глушко, 2019]. Однако, начиная с 2000-х гг. по мере сокращения доступности биологической информации отмечено ухудшение надежности выполняемых оценок состояния сырьевой базы речных раков, формирования прогнозов ее состояния и, соответственно, вылова. В период 2021–2023 гг. оценку запасов раков в водоемах р. Дон, включая водоемы </w:t>
      </w:r>
      <w:proofErr w:type="gramStart"/>
      <w:r w:rsidRPr="00AA61C8">
        <w:rPr>
          <w:rFonts w:ascii="Times New Roman" w:hAnsi="Times New Roman" w:cs="Times New Roman"/>
          <w:sz w:val="28"/>
          <w:szCs w:val="28"/>
        </w:rPr>
        <w:t>поймы</w:t>
      </w:r>
      <w:proofErr w:type="gramEnd"/>
      <w:r w:rsidRPr="00AA61C8">
        <w:rPr>
          <w:rFonts w:ascii="Times New Roman" w:hAnsi="Times New Roman" w:cs="Times New Roman"/>
          <w:sz w:val="28"/>
          <w:szCs w:val="28"/>
        </w:rPr>
        <w:t xml:space="preserve"> выполняли посредством трендовых моделей. Наиболее сопоставимые оценки с классическим методом прямого учета продемонстрировал пакет прикладных программ (далее ППП) «JABBA» и трендовая модель CMSY. Расчеты с использованием ППП «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Combi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 4.0» продемонстрировали существенное завышение оценок биомассы запаса на коротких рядах данных. Дальнейшая диагностика стабильности моделей по совокупности стохастических и аналитических тестов свидетельствовала в пользу более высокой надежности оценок, выполненных на ППП «JABBA». Практика применения ППП «JABBA» с априорной параметризацией для оценки запасов раков в водоемах р. Дон использована при подготовке материалов, обосновывающих прогнозы вылова раков, начиная с 2024 г. В результате выполненной апробации оценивание на основе ППП «JABBA» признано состоятельным и внедрено в практику подготовки материалов прогноза ОДУ [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Пятинский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Мазникова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>, 2023].</w:t>
      </w:r>
    </w:p>
    <w:p w:rsidR="00312D43" w:rsidRPr="00AA61C8" w:rsidRDefault="00312D43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Промысловый запас, ОДУ, фактический вылов и освоение ОДУ раков в р. Дон, включая водоемы поймы в период 2012–2023 гг.</w:t>
      </w:r>
    </w:p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4933" w:type="pct"/>
        <w:tblInd w:w="113" w:type="dxa"/>
        <w:tblLook w:val="04A0" w:firstRow="1" w:lastRow="0" w:firstColumn="1" w:lastColumn="0" w:noHBand="0" w:noVBand="1"/>
      </w:tblPr>
      <w:tblGrid>
        <w:gridCol w:w="1539"/>
        <w:gridCol w:w="1938"/>
        <w:gridCol w:w="1201"/>
        <w:gridCol w:w="2105"/>
        <w:gridCol w:w="2660"/>
      </w:tblGrid>
      <w:tr w:rsidR="00312D43" w:rsidRPr="00AA61C8" w:rsidTr="004552B6">
        <w:trPr>
          <w:trHeight w:hRule="exact" w:val="92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Промысловый запас, 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ОДУ, 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Вылов, 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% освоения </w:t>
            </w:r>
          </w:p>
        </w:tc>
      </w:tr>
      <w:tr w:rsidR="00312D43" w:rsidRPr="00AA61C8" w:rsidTr="004552B6">
        <w:trPr>
          <w:trHeight w:hRule="exact" w:val="449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87,5</w:t>
            </w:r>
          </w:p>
        </w:tc>
      </w:tr>
      <w:tr w:rsidR="00312D43" w:rsidRPr="00AA61C8" w:rsidTr="004552B6">
        <w:trPr>
          <w:trHeight w:hRule="exact" w:val="371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100</w:t>
            </w:r>
          </w:p>
        </w:tc>
      </w:tr>
      <w:tr w:rsidR="00312D43" w:rsidRPr="00AA61C8" w:rsidTr="004552B6">
        <w:trPr>
          <w:trHeight w:hRule="exact" w:val="435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100</w:t>
            </w:r>
          </w:p>
        </w:tc>
      </w:tr>
      <w:tr w:rsidR="00312D43" w:rsidRPr="00AA61C8" w:rsidTr="004552B6">
        <w:trPr>
          <w:trHeight w:hRule="exact" w:val="40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100</w:t>
            </w:r>
          </w:p>
        </w:tc>
      </w:tr>
      <w:tr w:rsidR="00312D43" w:rsidRPr="00AA61C8" w:rsidTr="004552B6">
        <w:trPr>
          <w:trHeight w:hRule="exact" w:val="432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86,7</w:t>
            </w:r>
          </w:p>
        </w:tc>
      </w:tr>
      <w:tr w:rsidR="00312D43" w:rsidRPr="00AA61C8" w:rsidTr="004552B6">
        <w:trPr>
          <w:trHeight w:hRule="exact" w:val="431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2017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"/>
              </w:rPr>
              <w:t>*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12D43" w:rsidRPr="00AA61C8" w:rsidTr="004552B6">
        <w:trPr>
          <w:trHeight w:hRule="exact" w:val="423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2018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"/>
              </w:rPr>
              <w:t>*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12D43" w:rsidRPr="00AA61C8" w:rsidTr="004552B6">
        <w:trPr>
          <w:trHeight w:hRule="exact" w:val="418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75,0</w:t>
            </w:r>
          </w:p>
        </w:tc>
      </w:tr>
      <w:tr w:rsidR="00312D43" w:rsidRPr="00AA61C8" w:rsidTr="004552B6">
        <w:trPr>
          <w:trHeight w:hRule="exact" w:val="34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,3</w:t>
            </w:r>
          </w:p>
        </w:tc>
      </w:tr>
      <w:tr w:rsidR="00312D43" w:rsidRPr="00AA61C8" w:rsidTr="004552B6">
        <w:trPr>
          <w:trHeight w:hRule="exact" w:val="43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82,6</w:t>
            </w:r>
          </w:p>
        </w:tc>
      </w:tr>
      <w:tr w:rsidR="00312D43" w:rsidRPr="00AA61C8" w:rsidTr="004552B6">
        <w:trPr>
          <w:trHeight w:hRule="exact" w:val="42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4,3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2,82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2,7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95,7</w:t>
            </w:r>
          </w:p>
        </w:tc>
      </w:tr>
      <w:tr w:rsidR="00312D43" w:rsidRPr="00AA61C8" w:rsidTr="004552B6">
        <w:trPr>
          <w:trHeight w:hRule="exact" w:val="442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85,6</w:t>
            </w:r>
          </w:p>
        </w:tc>
      </w:tr>
    </w:tbl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* </w:t>
      </w:r>
      <w:r w:rsidRPr="00AA61C8">
        <w:rPr>
          <w:rFonts w:ascii="Times New Roman" w:eastAsia="SimSun" w:hAnsi="Times New Roman" w:cs="Times New Roman"/>
          <w:i/>
          <w:sz w:val="28"/>
          <w:szCs w:val="28"/>
          <w:lang w:eastAsia="ru-RU"/>
        </w:rPr>
        <w:t>–</w:t>
      </w:r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в 2017–2018 гг. промысел не производился по административным причинам</w:t>
      </w:r>
    </w:p>
    <w:p w:rsidR="00AE2E47" w:rsidRPr="00AA61C8" w:rsidRDefault="00AE2E47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AA61C8">
        <w:rPr>
          <w:rFonts w:ascii="Times New Roman" w:eastAsia="SimSun" w:hAnsi="Times New Roman" w:cs="Times New Roman"/>
          <w:iCs/>
          <w:sz w:val="28"/>
          <w:szCs w:val="28"/>
        </w:rPr>
        <w:t xml:space="preserve">В соответствии с применяемыми методами оценки запаса показатели запаса в 2022–2023 гг. были значительно ниже предшествующих оценок (2012–2021 гг.). Это было обусловлено как ухудшением размерных характеристик запаса в предшествующие этому периоду годы 2021–2022 г. (рисунок 2), так и методическими особенностями применяемого подхода. При использовании трендовых моделей для прогноза запаса на 2022–2023 гг. выполнялась оценка мгновенной биомассы промыслового запаса на любой момент года. В предшествующий период (2012–2021 гг.) при оценке состояния запаса его биомасса оценивалась на начало года, до момента осуществления промысла. В соответствии с этими методическими особенностями, различия в оценках заключаются в моменте </w:t>
      </w:r>
      <w:proofErr w:type="gramStart"/>
      <w:r w:rsidRPr="00AA61C8">
        <w:rPr>
          <w:rFonts w:ascii="Times New Roman" w:eastAsia="SimSun" w:hAnsi="Times New Roman" w:cs="Times New Roman"/>
          <w:iCs/>
          <w:sz w:val="28"/>
          <w:szCs w:val="28"/>
        </w:rPr>
        <w:t>учета вступления особей группы пополнения</w:t>
      </w:r>
      <w:proofErr w:type="gramEnd"/>
      <w:r w:rsidRPr="00AA61C8">
        <w:rPr>
          <w:rFonts w:ascii="Times New Roman" w:eastAsia="SimSun" w:hAnsi="Times New Roman" w:cs="Times New Roman"/>
          <w:iCs/>
          <w:sz w:val="28"/>
          <w:szCs w:val="28"/>
        </w:rPr>
        <w:t xml:space="preserve"> в промысловый запас и момента осуществления промыслового изъятия. </w:t>
      </w:r>
    </w:p>
    <w:p w:rsidR="00AE2E47" w:rsidRPr="00AA61C8" w:rsidRDefault="00AE2E47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По данным официальной промысловой статистики АЧТУ общий годовой вылов раков в период 2012–2023 гг. составлял 0,4–3,6 т. Освоение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объемов ОДУ было на уровне 10,3–100 %. В 2017–2018 гг. официальный промысел не осуществлялся по ряду организационных причин. В 2021 г. был зарегистрирован вылов 2,5 т, что выше показателей 2020 г. более чем в 6 раз и на уровне фактического вылова предыдущих лет. Освоение ОДУ в 2021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г. составило 82,6 %. В 2022 г. объем годового вылова, как и в 2021 г. был высоким, общий годовой вылов составил 2,7 т. (освоение ОДУ 95,7 %). В 2023 г. общий годовой вылов снизился до 1,6 т, освоение ОДУ составило 85,6 %. </w:t>
      </w:r>
    </w:p>
    <w:p w:rsidR="00AE2E47" w:rsidRPr="00AA61C8" w:rsidRDefault="00AE2E47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Колебания запасов раков существенно зависят от условий среды обитания. Одним из основных факторов, определяющих уровень воспроизводства раков, является объем стока р. Дон, который определяет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ракопродуктивные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площади. Для проверки этой гипотезы выполнено сопоставление объемов годового стока р. Дон, включая водоемы поймы (км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промыслового запаса (т) в период с 2018–2024 гг. (рисунок 3).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С 2018 г. в р. Дон наблюдалось сокращение годового стока, достигшее в 2020 г. наименьшего объема (9,7 км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>), что очевидно негативно сказалось на воспроизводстве раков и привело к снижению величины их промыслового запаса в 2022-2023 гг. до уровня 4,0-4,3 т. По литературным данным [Черкашина, 2002] в период маловодных лет отмечается миграция раков в более водные участки, что усиливает мозаичность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их распределения и влечет за собой методический недоучет, особенно младших размерных групп. </w:t>
      </w:r>
    </w:p>
    <w:p w:rsidR="00AE2E47" w:rsidRPr="00AA61C8" w:rsidRDefault="00AE2E47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 последующие годы отмечалось увеличение водности, до 19,5 км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 xml:space="preserve">3 </w:t>
      </w:r>
      <w:r w:rsidRPr="00AA61C8">
        <w:rPr>
          <w:rFonts w:ascii="Times New Roman" w:eastAsia="SimSun" w:hAnsi="Times New Roman" w:cs="Times New Roman"/>
          <w:sz w:val="28"/>
          <w:szCs w:val="28"/>
        </w:rPr>
        <w:t>в 2023 г. С 2021 г.  по данным учетных съемок наблюдается рост численности группы пополнения раков (численность особей длиной до 10,0 см), в первую очередь благодаря возможности их более полного учета в условиях улучшения гидрологического режима (рисунок 2), Эти размерные группы пополнят промысловый запас в последующие 2-3 года, что приведет к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росту его величины в 2024–2026 гг. </w:t>
      </w:r>
    </w:p>
    <w:p w:rsidR="00AE2E47" w:rsidRPr="00AA61C8" w:rsidRDefault="00AE2E47" w:rsidP="00C447C2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69378B" wp14:editId="6F84BC84">
            <wp:extent cx="5972804" cy="29602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0" cy="2972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E47" w:rsidRPr="00AA61C8" w:rsidRDefault="00AE2E47" w:rsidP="00C447C2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3 – Динамика годового стока р. Дон, включая водоемы поймы (км</w:t>
      </w:r>
      <w:r w:rsidRPr="00AA61C8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>) и промыслового запаса (т) в 2018–2024 гг.</w:t>
      </w:r>
    </w:p>
    <w:p w:rsidR="00AE2E47" w:rsidRPr="00AA61C8" w:rsidRDefault="00AE2E47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bookmarkEnd w:id="15"/>
    <w:p w:rsidR="00C447C2" w:rsidRPr="00AA61C8" w:rsidRDefault="00C447C2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По данным АЧТУ, полученным при выполнении сотрудниками рыбоохраны правоохранительных мероприятий в р. Дон и водоемах поймы в 2021 г. было изъято 604 браконьерских орудий лова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ловушки) и 803 экз. раков. Общий объем незаконно изъятых раков составил 0,04 т. В 2022 г. было изъято 120 браконьерских орудий лова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ловушки) и 212 экз. раков. Общий объем незаконно изъятых промысловых биоресурсов составил 0,0077 т, что на 81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% меньше, чем в 2021 г. В 2023 г. было изъято 1472 браконьерских орудий лова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ловушки) и 4690 экз. раков. Общий объем незаконно изъятых промысловых биоресурсов составил 0,1574 т.</w:t>
      </w:r>
    </w:p>
    <w:p w:rsidR="00C447C2" w:rsidRPr="00AA61C8" w:rsidRDefault="00C447C2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Вероятно увеличение объемов ННН-промысла в 2022-2023 гг. негативно отразится на промысловом запасе и размерных характеристиках популяции раков. </w:t>
      </w:r>
    </w:p>
    <w:p w:rsidR="00312D43" w:rsidRPr="00AA61C8" w:rsidRDefault="00312D43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Промысловая статистика, используемая в качестве входных данных для моделирования на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представлена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таблице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2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</w:p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Таблица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2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Многолетняя промысловая статистика вылова раков в р. Дон, включая водоемы поймы в период 2012–2023 гг.</w:t>
      </w:r>
    </w:p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961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4119"/>
        <w:gridCol w:w="3800"/>
      </w:tblGrid>
      <w:tr w:rsidR="00312D43" w:rsidRPr="00AA61C8" w:rsidTr="004552B6">
        <w:trPr>
          <w:trHeight w:val="126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Г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CPUE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– улов на 1 </w:t>
            </w: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раколовку</w:t>
            </w:r>
            <w:proofErr w:type="spellEnd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 кг.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Улов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 т</w:t>
            </w:r>
          </w:p>
        </w:tc>
      </w:tr>
      <w:tr w:rsidR="00312D43" w:rsidRPr="00AA61C8" w:rsidTr="004552B6">
        <w:trPr>
          <w:trHeight w:val="126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1,875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12D43" w:rsidRPr="00AA61C8" w:rsidTr="004552B6">
        <w:trPr>
          <w:trHeight w:val="30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2013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2,221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,5</w:t>
            </w:r>
          </w:p>
        </w:tc>
      </w:tr>
      <w:tr w:rsidR="00312D43" w:rsidRPr="00AA61C8" w:rsidTr="004552B6">
        <w:trPr>
          <w:trHeight w:val="30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2,222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3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312D43" w:rsidRPr="00AA61C8" w:rsidTr="004552B6">
        <w:trPr>
          <w:trHeight w:val="30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2015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2,222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312D43" w:rsidRPr="00AA61C8" w:rsidTr="004552B6">
        <w:trPr>
          <w:trHeight w:val="30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2016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2,002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312D43" w:rsidRPr="00AA61C8" w:rsidTr="004552B6">
        <w:trPr>
          <w:trHeight w:val="187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2017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1,755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,5</w:t>
            </w:r>
          </w:p>
        </w:tc>
      </w:tr>
      <w:tr w:rsidR="00312D43" w:rsidRPr="00AA61C8" w:rsidTr="004552B6">
        <w:trPr>
          <w:trHeight w:val="192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2018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1,543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312D43" w:rsidRPr="00AA61C8" w:rsidTr="004552B6">
        <w:trPr>
          <w:trHeight w:val="56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2019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1,359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,2</w:t>
            </w:r>
          </w:p>
        </w:tc>
      </w:tr>
      <w:tr w:rsidR="00312D43" w:rsidRPr="00AA61C8" w:rsidTr="004552B6">
        <w:trPr>
          <w:trHeight w:val="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2020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0,247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4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312D43" w:rsidRPr="00AA61C8" w:rsidTr="004552B6">
        <w:trPr>
          <w:trHeight w:val="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1,836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2,5</w:t>
            </w:r>
          </w:p>
        </w:tc>
      </w:tr>
      <w:tr w:rsidR="00312D43" w:rsidRPr="00AA61C8" w:rsidTr="004552B6">
        <w:trPr>
          <w:trHeight w:val="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2,127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2,7</w:t>
            </w:r>
          </w:p>
        </w:tc>
      </w:tr>
      <w:tr w:rsidR="00312D43" w:rsidRPr="00AA61C8" w:rsidTr="004552B6">
        <w:trPr>
          <w:trHeight w:val="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C447C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2,119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C447C2">
            <w:pPr>
              <w:spacing w:after="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1,6</w:t>
            </w:r>
          </w:p>
        </w:tc>
      </w:tr>
    </w:tbl>
    <w:p w:rsidR="00312D43" w:rsidRPr="00AA61C8" w:rsidRDefault="00312D43" w:rsidP="00C447C2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>Примечание *- Данные за 2017–2018 гг. о вылове рака отсутствуют, и они были аппроксимированы при помощи геометрического среднего со скользящим шагом в 2 года.</w:t>
      </w:r>
    </w:p>
    <w:p w:rsidR="00312D43" w:rsidRPr="00AA61C8" w:rsidRDefault="00312D43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447C2" w:rsidRPr="00AA61C8" w:rsidRDefault="00C447C2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На основе ретроспективных данных об улове (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улове на одну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раколовку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CPUE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была построена модель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 применением расширенной априорной параметризации. В соответствии с работой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Musick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Musick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 1999] и информацией о биологических параметрах раков и близкородственных видов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широкопалого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Astacus</w:t>
      </w:r>
      <w:proofErr w:type="spellEnd"/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astacus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длиннопалого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gram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Р</w:t>
      </w:r>
      <w:proofErr w:type="spellStart"/>
      <w:proofErr w:type="gramEnd"/>
      <w:r w:rsidRPr="00AA61C8">
        <w:rPr>
          <w:rFonts w:ascii="Times New Roman" w:eastAsia="SimSun" w:hAnsi="Times New Roman" w:cs="Times New Roman"/>
          <w:i/>
          <w:sz w:val="28"/>
          <w:szCs w:val="28"/>
          <w:lang w:val="en-US"/>
        </w:rPr>
        <w:t>ont</w:t>
      </w:r>
      <w:r w:rsidRPr="00AA61C8">
        <w:rPr>
          <w:rFonts w:ascii="Times New Roman" w:eastAsia="SimSun" w:hAnsi="Times New Roman" w:cs="Times New Roman"/>
          <w:i/>
          <w:sz w:val="28"/>
          <w:szCs w:val="28"/>
        </w:rPr>
        <w:t>astacus</w:t>
      </w:r>
      <w:proofErr w:type="spellEnd"/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leptodactylus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рака, диапазон поиска оптимума параметра популяционной пластичности определен на уровне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[0,16; 0,5]. Диапазон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поиска оптимума параметра емкости среды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задан на уровне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K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[22, 30] т на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уровне ранее выполненных оценок биомассы запаса площадным методом в 2015–2019 гг., увеличенным на 1,5 и 2 [Глушко, 2019]. </w:t>
      </w:r>
    </w:p>
    <w:p w:rsidR="00C447C2" w:rsidRPr="00AA61C8" w:rsidRDefault="00C447C2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 качестве априорной точки состояния запаса в модели была определено состояния биомассы запаса, близкое к рациональному в 2015 г.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sd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0.2 в 2015 г.) исходя из результатов работы, указывающей на постепенное сокращение запаса в последующие годы [Глушко, 2019] и стабильный уровень запаса и годового вылова в 2015 г. </w:t>
      </w:r>
      <w:proofErr w:type="gramEnd"/>
    </w:p>
    <w:p w:rsidR="00C447C2" w:rsidRPr="00AA61C8" w:rsidRDefault="00C447C2" w:rsidP="00C447C2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косвенного учета вклада ННН-промысла в состояние популяции была применена априорная параметризация возможности уточнения (корректировки) статистики вылова моделью исходя из оптимальных теоретических соображений ее подгонки.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При параметризации задана высокая вероятность занижения входных данных по уловам и уловам на единицу промыслового усилия, связанная с наличием ННН-промысла, но с использованием неоткорректированных входных данных о годовых выловах: catch.cv = 0,8 (диапазон возможной ошибки в уловах на логарифмической шкале, до 40 % от величины легального вылова);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catch.error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under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(вероятность наличия ошибок в рыбопромысловой статистике с систематической недооценкой).</w:t>
      </w:r>
      <w:proofErr w:type="gramEnd"/>
    </w:p>
    <w:p w:rsidR="00C447C2" w:rsidRPr="00AA61C8" w:rsidRDefault="00C447C2" w:rsidP="00C447C2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Представленная априорная параметризация модели ранее была применена при подготовке материалов. В ходе процедуры выбора наилучшей реализации продукционной модели в комплексе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были проверены модели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Шефера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Фокса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Пелла-Томлинсона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Наилучшая статистическая диагностика была достигнута при реализации модели Фокса. </w:t>
      </w:r>
    </w:p>
    <w:p w:rsidR="00312D43" w:rsidRPr="00AA61C8" w:rsidRDefault="00312D43" w:rsidP="00C447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Результаты оценок биомассы запаса раков, промысловой смертности их 95 % доверительных интервалов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CI</w:t>
      </w:r>
      <w:r w:rsidRPr="00AA61C8">
        <w:rPr>
          <w:rFonts w:ascii="Times New Roman" w:eastAsia="SimSun" w:hAnsi="Times New Roman" w:cs="Times New Roman"/>
          <w:sz w:val="28"/>
          <w:szCs w:val="28"/>
        </w:rPr>
        <w:t>95) (таблица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>). Результаты оценки параметров продукционного уравнения и их 95 % доверительные интервалы представлены в таблице 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4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</w:p>
    <w:p w:rsidR="00312D43" w:rsidRPr="00AA61C8" w:rsidRDefault="00312D43" w:rsidP="0099608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bookmarkStart w:id="16" w:name="_Hlk158283999"/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Таблица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Результаты ретроспективных оценок биомассы запаса и промысловой смертности раков в р. Дон, включая водоемы поймы при помощи модели Фокса в комплексе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период 2012–2023 гг. (ретроспективная модель)</w:t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tbl>
      <w:tblPr>
        <w:tblW w:w="975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900"/>
        <w:gridCol w:w="2268"/>
        <w:gridCol w:w="1928"/>
        <w:gridCol w:w="2411"/>
      </w:tblGrid>
      <w:tr w:rsidR="00312D43" w:rsidRPr="00AA61C8" w:rsidTr="004552B6">
        <w:trPr>
          <w:trHeight w:hRule="exact" w:val="1799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</w:p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(биомасса запаса, 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B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CI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95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(доверительный интервал 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 т)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</w:t>
            </w:r>
          </w:p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(промысловая смертность)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CI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95 (доверительный интервал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оценок промысловой смертности)</w:t>
            </w:r>
          </w:p>
        </w:tc>
      </w:tr>
      <w:tr w:rsidR="00312D43" w:rsidRPr="00AA61C8" w:rsidTr="004552B6">
        <w:trPr>
          <w:trHeight w:hRule="exact" w:val="336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12,8-31,0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0,06-0,40</w:t>
            </w:r>
          </w:p>
        </w:tc>
      </w:tr>
      <w:tr w:rsidR="00312D43" w:rsidRPr="00AA61C8" w:rsidTr="004552B6">
        <w:trPr>
          <w:trHeight w:hRule="exact" w:val="43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12,4-27,0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0,12-0,53</w:t>
            </w:r>
          </w:p>
        </w:tc>
      </w:tr>
      <w:tr w:rsidR="00312D43" w:rsidRPr="00AA61C8" w:rsidTr="004552B6">
        <w:trPr>
          <w:trHeight w:hRule="exact" w:val="436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10,8-22,8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0,23-0,65</w:t>
            </w:r>
          </w:p>
        </w:tc>
      </w:tr>
      <w:tr w:rsidR="00312D43" w:rsidRPr="00AA61C8" w:rsidTr="004552B6">
        <w:trPr>
          <w:trHeight w:hRule="exact" w:val="42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8,6-17,3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0,20-0,66</w:t>
            </w:r>
          </w:p>
        </w:tc>
      </w:tr>
      <w:tr w:rsidR="00312D43" w:rsidRPr="00AA61C8" w:rsidTr="004552B6">
        <w:trPr>
          <w:trHeight w:hRule="exact" w:val="442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7,5-16,9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0,20-0,71</w:t>
            </w:r>
          </w:p>
        </w:tc>
      </w:tr>
      <w:tr w:rsidR="00312D43" w:rsidRPr="00AA61C8" w:rsidTr="004552B6">
        <w:trPr>
          <w:trHeight w:hRule="exact" w:val="446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6,6-16,2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0,20-0,79</w:t>
            </w:r>
          </w:p>
        </w:tc>
      </w:tr>
      <w:tr w:rsidR="00312D43" w:rsidRPr="00AA61C8" w:rsidTr="004552B6">
        <w:trPr>
          <w:trHeight w:hRule="exact" w:val="436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5,6-15,5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0,21-0,95</w:t>
            </w:r>
          </w:p>
        </w:tc>
      </w:tr>
      <w:tr w:rsidR="00312D43" w:rsidRPr="00AA61C8" w:rsidTr="004552B6">
        <w:trPr>
          <w:trHeight w:hRule="exact" w:val="453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4,3-14,4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0,23-1,12</w:t>
            </w:r>
          </w:p>
        </w:tc>
      </w:tr>
      <w:tr w:rsidR="00312D43" w:rsidRPr="00AA61C8" w:rsidTr="004552B6">
        <w:trPr>
          <w:trHeight w:hRule="exact" w:val="457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3,2-13,1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0,04-0,30</w:t>
            </w:r>
          </w:p>
        </w:tc>
      </w:tr>
      <w:tr w:rsidR="00312D43" w:rsidRPr="00AA61C8" w:rsidTr="004552B6">
        <w:trPr>
          <w:trHeight w:hRule="exact" w:val="447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5,3-16,5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0,19-0,72</w:t>
            </w:r>
          </w:p>
        </w:tc>
      </w:tr>
      <w:tr w:rsidR="00312D43" w:rsidRPr="00AA61C8" w:rsidTr="004552B6">
        <w:trPr>
          <w:trHeight w:hRule="exact" w:val="46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5,2-16,7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0,21-0,85</w:t>
            </w:r>
          </w:p>
        </w:tc>
      </w:tr>
      <w:tr w:rsidR="00312D43" w:rsidRPr="00AA61C8" w:rsidTr="004552B6">
        <w:trPr>
          <w:trHeight w:hRule="exact" w:val="45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  <w:t>9,1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  <w:t>4,0-16,7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  <w:t>0,32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Liberation Sans" w:hAnsi="Times New Roman" w:cs="Times New Roman"/>
                <w:sz w:val="28"/>
                <w:szCs w:val="28"/>
                <w:lang w:eastAsia="zh-CN" w:bidi="ar"/>
              </w:rPr>
              <w:t>0,13-1,30</w:t>
            </w:r>
          </w:p>
        </w:tc>
      </w:tr>
      <w:bookmarkEnd w:id="16"/>
    </w:tbl>
    <w:p w:rsidR="00312D43" w:rsidRPr="00AA61C8" w:rsidRDefault="00312D43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val="en-US"/>
        </w:rPr>
      </w:pP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 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 xml:space="preserve">4 –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Результаты оценки параметров продукционного уравнения Фокса в комплексе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</w:p>
    <w:tbl>
      <w:tblPr>
        <w:tblW w:w="9784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784"/>
        <w:gridCol w:w="3223"/>
        <w:gridCol w:w="4777"/>
      </w:tblGrid>
      <w:tr w:rsidR="00312D43" w:rsidRPr="00AA61C8" w:rsidTr="004552B6">
        <w:trPr>
          <w:trHeight w:hRule="exact" w:val="497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Параметр</w:t>
            </w:r>
            <w:proofErr w:type="spellEnd"/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Значение</w:t>
            </w:r>
            <w:proofErr w:type="spellEnd"/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Доверительный</w:t>
            </w:r>
            <w:proofErr w:type="spellEnd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интервал</w:t>
            </w:r>
            <w:proofErr w:type="spellEnd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, p = 0,95</w:t>
            </w:r>
          </w:p>
        </w:tc>
      </w:tr>
      <w:tr w:rsidR="00312D43" w:rsidRPr="00AA61C8" w:rsidTr="004552B6">
        <w:trPr>
          <w:trHeight w:hRule="exact" w:val="414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ind w:right="498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K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26,3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22,7 – 30,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3</w:t>
            </w:r>
          </w:p>
        </w:tc>
      </w:tr>
      <w:tr w:rsidR="00312D43" w:rsidRPr="00AA61C8" w:rsidTr="004552B6">
        <w:trPr>
          <w:trHeight w:hRule="exact" w:val="431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ind w:right="498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r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0,38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0,25 – 0,57</w:t>
            </w:r>
          </w:p>
        </w:tc>
      </w:tr>
      <w:tr w:rsidR="00312D43" w:rsidRPr="00AA61C8" w:rsidTr="004552B6">
        <w:trPr>
          <w:trHeight w:hRule="exact" w:val="436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ind w:right="498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psi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0,77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0,51 – 1,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17</w:t>
            </w:r>
          </w:p>
        </w:tc>
      </w:tr>
      <w:tr w:rsidR="00312D43" w:rsidRPr="00AA61C8" w:rsidTr="004552B6">
        <w:trPr>
          <w:trHeight w:hRule="exact" w:val="418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ind w:right="498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sigma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0,05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0,03 – 0,10</w:t>
            </w:r>
          </w:p>
        </w:tc>
      </w:tr>
    </w:tbl>
    <w:p w:rsidR="00402C85" w:rsidRPr="00AA61C8" w:rsidRDefault="00402C85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ind w:firstLine="851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Определение биологических ориентиров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Для определения биологических ориентиров использовались результаты моделирования продукционной кривой и концепция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Были рассчитаны следующие биологические ориентиры: 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уровень максимально устойчивого вылова,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биомасса, соответствующая максимальному устойчивому вылову,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-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H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уровень промысловой смертности, соответствующий максимально устойчивому вылову на продукционной кривой устойчивого вылова и границы их 95 % доверительные интервалы (таблица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5</w:t>
      </w:r>
      <w:r w:rsidRPr="00AA61C8">
        <w:rPr>
          <w:rFonts w:ascii="Times New Roman" w:eastAsia="SimSun" w:hAnsi="Times New Roman" w:cs="Times New Roman"/>
          <w:sz w:val="28"/>
          <w:szCs w:val="28"/>
        </w:rPr>
        <w:t>).</w:t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 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5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Биологические ориентиры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для раков в р. Дон, включая водоемы поймы, на основе оценок модели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</w:p>
    <w:tbl>
      <w:tblPr>
        <w:tblW w:w="98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3662"/>
        <w:gridCol w:w="4401"/>
      </w:tblGrid>
      <w:tr w:rsidR="00312D43" w:rsidRPr="00AA61C8" w:rsidTr="004552B6">
        <w:trPr>
          <w:trHeight w:val="164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43" w:rsidRPr="00AA61C8" w:rsidRDefault="00312D43" w:rsidP="0099608F">
            <w:pPr>
              <w:spacing w:after="0" w:line="36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Параметр</w:t>
            </w:r>
            <w:proofErr w:type="spellEnd"/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Доверительный интервал,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p = 0,95</w:t>
            </w:r>
          </w:p>
        </w:tc>
      </w:tr>
      <w:tr w:rsidR="00312D43" w:rsidRPr="00AA61C8" w:rsidTr="004552B6">
        <w:trPr>
          <w:trHeight w:val="195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43" w:rsidRPr="00AA61C8" w:rsidRDefault="00312D43" w:rsidP="00C447C2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MSY,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 т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3,63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2,464–5,435</w:t>
            </w:r>
          </w:p>
        </w:tc>
      </w:tr>
      <w:tr w:rsidR="00312D43" w:rsidRPr="00AA61C8" w:rsidTr="004552B6">
        <w:trPr>
          <w:trHeight w:val="160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43" w:rsidRPr="00AA61C8" w:rsidRDefault="00312D43" w:rsidP="00C447C2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B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  <w:lang w:val="en-US"/>
              </w:rPr>
              <w:t>MSY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 т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9,666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8,342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–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11,158</w:t>
            </w:r>
          </w:p>
        </w:tc>
      </w:tr>
      <w:tr w:rsidR="00312D43" w:rsidRPr="00AA61C8" w:rsidTr="004552B6">
        <w:trPr>
          <w:trHeight w:val="164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43" w:rsidRPr="00AA61C8" w:rsidRDefault="00312D43" w:rsidP="00C447C2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  <w:lang w:val="en-US"/>
              </w:rPr>
              <w:t>MSY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0,376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D43" w:rsidRPr="00AA61C8" w:rsidRDefault="00312D43" w:rsidP="0099608F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0,250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–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0,571</w:t>
            </w:r>
          </w:p>
        </w:tc>
      </w:tr>
    </w:tbl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соответствии с выполненными оценками ориентиров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максимально продуктивное состояние популяции может быть достигнуто при биомассе промыслового запаса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tr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9,666 т. В таком случае максимально устойчивый вылов должен составить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3,633 т (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9,666 * 0,376 = 3,63). В соответствии с концепцией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граничный ориентир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4,833 т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0,5 *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9,666 * 0,5 = 4,833).</w:t>
      </w:r>
    </w:p>
    <w:p w:rsidR="00312D43" w:rsidRPr="00AA61C8" w:rsidRDefault="00312D43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312D43" w:rsidRPr="00AA61C8" w:rsidRDefault="00312D43" w:rsidP="0099608F">
      <w:pPr>
        <w:spacing w:after="0" w:line="360" w:lineRule="auto"/>
        <w:ind w:firstLine="709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Обоснование правила регулирования промысла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основании полученных оценок биомассы запаса и биологических ориентиров были построены графики, позволяющие наглядно интерпретировать полученные результаты и выбрать оптимальное правило регулирования промысла (ПРП) с учетом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(рисунок </w:t>
      </w:r>
      <w:r w:rsidR="00C447C2" w:rsidRPr="00AA61C8">
        <w:rPr>
          <w:rFonts w:ascii="Times New Roman" w:eastAsia="SimSun" w:hAnsi="Times New Roman" w:cs="Times New Roman"/>
          <w:sz w:val="28"/>
          <w:szCs w:val="28"/>
        </w:rPr>
        <w:t>4</w:t>
      </w:r>
      <w:r w:rsidRPr="00AA61C8">
        <w:rPr>
          <w:rFonts w:ascii="Times New Roman" w:eastAsia="SimSun" w:hAnsi="Times New Roman" w:cs="Times New Roman"/>
          <w:sz w:val="28"/>
          <w:szCs w:val="28"/>
        </w:rPr>
        <w:t>).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771"/>
      </w:tblGrid>
      <w:tr w:rsidR="00312D43" w:rsidRPr="00AA61C8" w:rsidTr="004552B6">
        <w:tc>
          <w:tcPr>
            <w:tcW w:w="4927" w:type="dxa"/>
            <w:tcBorders>
              <w:tl2br w:val="nil"/>
              <w:tr2bl w:val="nil"/>
            </w:tcBorders>
          </w:tcPr>
          <w:p w:rsidR="00312D43" w:rsidRPr="00AA61C8" w:rsidRDefault="00312D43" w:rsidP="0099608F">
            <w:pPr>
              <w:spacing w:line="360" w:lineRule="auto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240F8CE" wp14:editId="2195E369">
                  <wp:extent cx="2962275" cy="2524125"/>
                  <wp:effectExtent l="0" t="0" r="9525" b="9525"/>
                  <wp:docPr id="2" name="Рисунок 2" descr="Z:\Отдел промысловой ихтиологии\Рабочая\Раки\Файлы (D)\2024\Материалы ОДУ на 2025 год\РАСЧЕТЫ ОДУ на 2025 (ЭКСПЕРТИЗА)\дон\plots\B_default_fox 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Z:\Отдел промысловой ихтиологии\Рабочая\Раки\Файлы (D)\2024\Материалы ОДУ на 2025 год\РАСЧЕТЫ ОДУ на 2025 (ЭКСПЕРТИЗА)\дон\plots\B_default_fox 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l2br w:val="nil"/>
              <w:tr2bl w:val="nil"/>
            </w:tcBorders>
          </w:tcPr>
          <w:p w:rsidR="00312D43" w:rsidRPr="00AA61C8" w:rsidRDefault="00312D43" w:rsidP="0099608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0E41EE31" wp14:editId="125B8660">
                  <wp:extent cx="2943225" cy="2466975"/>
                  <wp:effectExtent l="0" t="0" r="9525" b="9525"/>
                  <wp:docPr id="3" name="Рисунок 3" descr="Z:\Отдел промысловой ихтиологии\Рабочая\Раки\Файлы (D)\2024\Материалы ОДУ на 2025 год\РАСЧЕТЫ ОДУ на 2025 (ЭКСПЕРТИЗА)\дон\plots\F_default_fox 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Z:\Отдел промысловой ихтиологии\Рабочая\Раки\Файлы (D)\2024\Материалы ОДУ на 2025 год\РАСЧЕТЫ ОДУ на 2025 (ЭКСПЕРТИЗА)\дон\plots\F_default_fox 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D43" w:rsidRPr="00AA61C8" w:rsidRDefault="00312D43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</w:t>
      </w:r>
      <w:r w:rsidR="00C447C2" w:rsidRPr="00AA61C8">
        <w:rPr>
          <w:rFonts w:ascii="Times New Roman" w:eastAsia="SimSun" w:hAnsi="Times New Roman" w:cs="Times New Roman"/>
          <w:sz w:val="28"/>
          <w:szCs w:val="28"/>
        </w:rPr>
        <w:t>4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Биомасса запаса (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целевой ориентир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промысловая смертность и целевой ориентир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для раков в 2012–2023 гг.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соответствии с полученными результатами на рисунке </w:t>
      </w:r>
      <w:r w:rsidR="00C447C2" w:rsidRPr="00AA61C8">
        <w:rPr>
          <w:rFonts w:ascii="Times New Roman" w:eastAsia="SimSun" w:hAnsi="Times New Roman" w:cs="Times New Roman"/>
          <w:sz w:val="28"/>
          <w:szCs w:val="28"/>
        </w:rPr>
        <w:t>4</w:t>
      </w:r>
      <w:r w:rsidRPr="00AA61C8">
        <w:rPr>
          <w:rFonts w:ascii="Times New Roman" w:eastAsia="SimSun" w:hAnsi="Times New Roman" w:cs="Times New Roman"/>
          <w:sz w:val="28"/>
          <w:szCs w:val="28"/>
        </w:rPr>
        <w:t>, в период 2012 – 2020 гг. отмечается постепенное сокращение биомассы запаса раков, с 2019 г. – ниже уровня целевого ориентира по биомассе запаса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2019-2020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&lt;1). В период 2012–2019 гг. и 2020–2022 гг. отмечался постепенный рост уровня промысловой смертности, которая превысила целевой уровень ориентира в 2018–2019 гг. и 2022 г. В 2020 г. промысловая смертность была ниже целевого уровня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период 2017–2018 гг. в результате административных ограничений ведения промысла статистические данные отсутствовали, тем не менее, промысел – осуществлялся. Формальный запрет ведения промысла в эти годы положительно не сказался на состоянии запаса. Постепенная стабилизация состояния биомассы запаса отмечена в 2021–2022 гг., была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обусловлена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том числе резким сокращением объемов добычи раков в 2020 г. по административным причинам и сокращением продолжительности промыслового периода до 3 месяцев. 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настоящее время в 2023 г. биомасса запаса и промысловая смертность находятся на уровне незначительно ниже целевого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0,95,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1,9,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0,85). На основании полученных результатов текущее состояние популяции можно резюмировать как: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Состояние промысла: на рациональном уровне без признаков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переэксплуатации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тенденция на уменьшение;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- Состояние запаса: в буферной зоне между целевым и граничным ориентиром, стабилизация запаса в 2020–2023 гг.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аргументации применения выбранных правил регулирования промысла следует отметить негативное воздействие ННН-промысла на популяцию раков в р. Дон, включая водоемы поймы. Как уже рассматривалось ранее, в период 2017–2018 гг., официально, промысел раков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не осуществлялся. Однако это не привело к увеличению промыслового запаса в 2019–2021 гг., что косвенно свидетельствует о наличии ННН-промысла, который лишь в 2020 г. превышал объем легального (разрешенного) промысла не менее чем в 1,5 раза. Несмотря на малый зафиксированный размер ННН-промысла в 2021 г. и 2022 г. данные также свидетельствуют, что в период закрытия официального промысла незаконный промысел продолжает существенно влиять на биомассу запаса раков. В 2023 г. зафиксирован рекордный объем ННН-промысла: общий объем незаконно добытых раков составил 0,1574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т, что больше на 294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%, чем в 2021 г.</w:t>
      </w: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Учитывая высокий уровень ННН-промысла в последние годы при прогнозировании ОДУ не следует прибегать к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сценариям интенсификации промысловой нагрузки на популяцию, учитывая то, что текущий уровень промысловой смертности в 2023 г. лишь незначительно ниже целевого показателя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0,85).</w:t>
      </w: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Комбинированные результаты на схеме 4-зонального состояния биомассы запаса и промысла представлены на рисунке </w:t>
      </w:r>
      <w:r w:rsidR="00F66F47" w:rsidRPr="00AA61C8">
        <w:rPr>
          <w:rFonts w:ascii="Times New Roman" w:eastAsia="SimSun" w:hAnsi="Times New Roman" w:cs="Times New Roman"/>
          <w:sz w:val="28"/>
          <w:szCs w:val="28"/>
        </w:rPr>
        <w:t>5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4-х зональная схема состояния запаса и промысла наглядно демонстрирует ранее рассмотренное изменение системы «запас-промысел»: постепенное смещение из состояния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«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недоэксплуатация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» и «запас выше целевого уровня» в буферное состояние запаса (между целевым и граничным ориентирами) и эксплуатацию ниже целевого уровня. </w:t>
      </w:r>
      <w:proofErr w:type="gramEnd"/>
    </w:p>
    <w:p w:rsidR="00312D43" w:rsidRPr="00AA61C8" w:rsidRDefault="00312D43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C3EC9AB" wp14:editId="6FCB992F">
            <wp:extent cx="2781300" cy="2495550"/>
            <wp:effectExtent l="0" t="0" r="0" b="0"/>
            <wp:docPr id="4" name="Рисунок 4" descr="Z:\Отдел промысловой ихтиологии\Рабочая\Раки\Файлы (D)\2024\Материалы ОДУ на 2025 год\РАСЧЕТЫ ОДУ на 2025 (ЭКСПЕРТИЗА)\дон\plots\Kobe_default_fox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Z:\Отдел промысловой ихтиологии\Рабочая\Раки\Файлы (D)\2024\Материалы ОДУ на 2025 год\РАСЧЕТЫ ОДУ на 2025 (ЭКСПЕРТИЗА)\дон\plots\Kobe_default_fox defaul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43" w:rsidRPr="00AA61C8" w:rsidRDefault="00312D43" w:rsidP="0099608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</w:t>
      </w:r>
      <w:r w:rsidR="00F66F47" w:rsidRPr="00AA61C8">
        <w:rPr>
          <w:rFonts w:ascii="Times New Roman" w:eastAsia="SimSun" w:hAnsi="Times New Roman" w:cs="Times New Roman"/>
          <w:sz w:val="28"/>
          <w:szCs w:val="28"/>
        </w:rPr>
        <w:t>5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Траектории оценок состояния запасов и промысла раков р. Дон, включая водоемы поймы (4-х 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зональное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ПРП)</w:t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312D43" w:rsidRPr="00AA61C8" w:rsidRDefault="00312D43" w:rsidP="0099608F">
      <w:pPr>
        <w:spacing w:after="0" w:line="360" w:lineRule="auto"/>
        <w:ind w:firstLine="709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Прогнозирование состояния запаса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соответствии с текущим состоянием запаса и промысла, рассмотренном в разделе «определение правил регулирования промысла», методическими рекомендациями к имплементации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[Бабаян и др., 2018] был выполнен краткосрочный прогноз на 2025–2026 гг. с рассмотрением следующих сценариев: 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: сценарий максимально устойчивого вылова на уровне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>;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SQ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(статус-кво): сценарий изъятия на уровне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среднетрехлетней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промысловой смертности,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AVG</w:t>
      </w:r>
      <w:r w:rsidRPr="00AA61C8">
        <w:rPr>
          <w:rFonts w:ascii="Times New Roman" w:eastAsia="SimSun" w:hAnsi="Times New Roman" w:cs="Times New Roman"/>
          <w:sz w:val="28"/>
          <w:szCs w:val="28"/>
        </w:rPr>
        <w:t>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2021-2023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);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Гипотетически вероятные сценарии эксплуатации на уровне выше и ниже на 15% от целевого уровня,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+ 15% 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- 15% соответственно,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0,85;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1,15).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- сценарий предосторожного подхода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PREC</w:t>
      </w:r>
      <w:r w:rsidRPr="00AA61C8">
        <w:rPr>
          <w:rFonts w:ascii="Times New Roman" w:eastAsia="SimSun" w:hAnsi="Times New Roman" w:cs="Times New Roman"/>
          <w:sz w:val="28"/>
          <w:szCs w:val="28"/>
        </w:rPr>
        <w:t>): сценарий изъятия на щадящем уровне в условиях неблагоприятного состояния запаса ниже целевого ориентира (</w:t>
      </w:r>
      <w:bookmarkStart w:id="17" w:name="_Hlk158213784"/>
      <w:r w:rsidRPr="00AA61C8">
        <w:rPr>
          <w:rFonts w:ascii="Times New Roman" w:eastAsia="SimSun" w:hAnsi="Times New Roman" w:cs="Times New Roman"/>
          <w:sz w:val="28"/>
          <w:szCs w:val="28"/>
        </w:rPr>
        <w:t>Бабаян и др., 2018</w:t>
      </w:r>
      <w:bookmarkEnd w:id="17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), при котором промысловая смертность составит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prec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-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)/(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-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+1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prec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prec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,33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Так как сценарии «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15 %» и «предосторожного подхода» задают практически одинаковый уровень управляющего параметра промысловой смертности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prec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0,33,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-15 %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0,32) 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они были объединены в один сценарий –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15 %.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Текстовые результаты моделирования краткосрочных прогнозных сценариев представлены в таблице 1</w:t>
      </w:r>
      <w:r w:rsidR="0099608F" w:rsidRPr="00AA61C8">
        <w:rPr>
          <w:rFonts w:ascii="Times New Roman" w:eastAsia="SimSun" w:hAnsi="Times New Roman" w:cs="Times New Roman"/>
          <w:sz w:val="28"/>
          <w:szCs w:val="28"/>
        </w:rPr>
        <w:t>6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графические – на рисунке </w:t>
      </w:r>
      <w:r w:rsidR="00F66F47" w:rsidRPr="00AA61C8">
        <w:rPr>
          <w:rFonts w:ascii="Times New Roman" w:eastAsia="SimSun" w:hAnsi="Times New Roman" w:cs="Times New Roman"/>
          <w:sz w:val="28"/>
          <w:szCs w:val="28"/>
        </w:rPr>
        <w:t>6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</w:t>
      </w:r>
    </w:p>
    <w:p w:rsidR="00312D43" w:rsidRPr="00AA61C8" w:rsidRDefault="00312D43" w:rsidP="0099608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bookmarkStart w:id="18" w:name="_Hlk158285046"/>
      <w:r w:rsidRPr="00AA61C8">
        <w:rPr>
          <w:rFonts w:ascii="Times New Roman" w:eastAsia="SimSun" w:hAnsi="Times New Roman" w:cs="Times New Roman"/>
          <w:sz w:val="28"/>
          <w:szCs w:val="28"/>
        </w:rPr>
        <w:t>Таблица 1</w:t>
      </w:r>
      <w:r w:rsidR="00F31DD9" w:rsidRPr="00AA61C8">
        <w:rPr>
          <w:rFonts w:ascii="Times New Roman" w:eastAsia="SimSun" w:hAnsi="Times New Roman" w:cs="Times New Roman"/>
          <w:sz w:val="28"/>
          <w:szCs w:val="28"/>
        </w:rPr>
        <w:t>6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</w:t>
      </w:r>
      <w:r w:rsidRPr="00AA61C8">
        <w:rPr>
          <w:rFonts w:ascii="Times New Roman" w:eastAsia="SimSun" w:hAnsi="Times New Roman" w:cs="Times New Roman"/>
          <w:sz w:val="28"/>
          <w:szCs w:val="28"/>
        </w:rPr>
        <w:t>Сценарии краткосрочного прогноза ОДУ и запаса раков в р. Дон, включая водоемы поймы при различных параметрах управления промыслом на 2024–2026 гг.</w:t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1104"/>
        <w:gridCol w:w="995"/>
        <w:gridCol w:w="1013"/>
        <w:gridCol w:w="1160"/>
        <w:gridCol w:w="1115"/>
        <w:gridCol w:w="1295"/>
        <w:gridCol w:w="1042"/>
        <w:gridCol w:w="1368"/>
      </w:tblGrid>
      <w:tr w:rsidR="00312D43" w:rsidRPr="00AA61C8" w:rsidTr="004552B6">
        <w:trPr>
          <w:trHeight w:hRule="exact" w:val="916"/>
        </w:trPr>
        <w:tc>
          <w:tcPr>
            <w:tcW w:w="973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Годы</w:t>
            </w:r>
            <w:proofErr w:type="spellEnd"/>
          </w:p>
        </w:tc>
        <w:tc>
          <w:tcPr>
            <w:tcW w:w="2099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 xml:space="preserve"> SQ (F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=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0,37)</w:t>
            </w:r>
          </w:p>
        </w:tc>
        <w:tc>
          <w:tcPr>
            <w:tcW w:w="2173" w:type="dxa"/>
            <w:gridSpan w:val="2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 xml:space="preserve"> MSY (F = 0,38)</w:t>
            </w:r>
          </w:p>
        </w:tc>
        <w:tc>
          <w:tcPr>
            <w:tcW w:w="2410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 xml:space="preserve"> +15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eastAsia="zh-CN" w:bidi="ar"/>
              </w:rPr>
              <w:t> 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% MSY (F = 0,43)</w:t>
            </w:r>
          </w:p>
        </w:tc>
        <w:tc>
          <w:tcPr>
            <w:tcW w:w="2410" w:type="dxa"/>
            <w:gridSpan w:val="2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 xml:space="preserve"> -15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eastAsia="zh-CN" w:bidi="ar"/>
              </w:rPr>
              <w:t> 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% MSY (F = 0,32)</w:t>
            </w:r>
          </w:p>
        </w:tc>
      </w:tr>
      <w:tr w:rsidR="00312D43" w:rsidRPr="00AA61C8" w:rsidTr="00F31DD9">
        <w:trPr>
          <w:trHeight w:hRule="exact" w:val="1032"/>
        </w:trPr>
        <w:tc>
          <w:tcPr>
            <w:tcW w:w="973" w:type="dxa"/>
            <w:vMerge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, т</w:t>
            </w:r>
          </w:p>
        </w:tc>
        <w:tc>
          <w:tcPr>
            <w:tcW w:w="9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ОДУ, т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, т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ОДУ, т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, т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ОДУ, т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, т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ОДУ, т</w:t>
            </w:r>
          </w:p>
        </w:tc>
      </w:tr>
      <w:tr w:rsidR="00312D43" w:rsidRPr="00AA61C8" w:rsidTr="004552B6">
        <w:trPr>
          <w:trHeight w:hRule="exact" w:val="343"/>
        </w:trPr>
        <w:tc>
          <w:tcPr>
            <w:tcW w:w="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2024</w:t>
            </w:r>
          </w:p>
        </w:tc>
        <w:tc>
          <w:tcPr>
            <w:tcW w:w="110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9,5 </w:t>
            </w:r>
          </w:p>
        </w:tc>
        <w:tc>
          <w:tcPr>
            <w:tcW w:w="9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3,5 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4,1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3,0</w:t>
            </w:r>
          </w:p>
        </w:tc>
      </w:tr>
      <w:tr w:rsidR="00312D43" w:rsidRPr="00AA61C8" w:rsidTr="004552B6">
        <w:trPr>
          <w:trHeight w:hRule="exact" w:val="433"/>
        </w:trPr>
        <w:tc>
          <w:tcPr>
            <w:tcW w:w="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2025</w:t>
            </w:r>
          </w:p>
        </w:tc>
        <w:tc>
          <w:tcPr>
            <w:tcW w:w="110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9,7</w:t>
            </w:r>
          </w:p>
        </w:tc>
        <w:tc>
          <w:tcPr>
            <w:tcW w:w="9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9,6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9,0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10,1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3,2</w:t>
            </w:r>
          </w:p>
        </w:tc>
      </w:tr>
      <w:tr w:rsidR="00312D43" w:rsidRPr="00AA61C8" w:rsidTr="004552B6">
        <w:trPr>
          <w:trHeight w:hRule="exact" w:val="412"/>
        </w:trPr>
        <w:tc>
          <w:tcPr>
            <w:tcW w:w="9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2026</w:t>
            </w:r>
          </w:p>
        </w:tc>
        <w:tc>
          <w:tcPr>
            <w:tcW w:w="110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9,7</w:t>
            </w:r>
          </w:p>
        </w:tc>
        <w:tc>
          <w:tcPr>
            <w:tcW w:w="9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FF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8,7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3,8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10,4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C2D69B"/>
            <w:noWrap/>
            <w:vAlign w:val="center"/>
          </w:tcPr>
          <w:p w:rsidR="00312D43" w:rsidRPr="00AA61C8" w:rsidRDefault="00312D43" w:rsidP="0099608F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3,3</w:t>
            </w:r>
          </w:p>
        </w:tc>
      </w:tr>
    </w:tbl>
    <w:bookmarkEnd w:id="18"/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* </w:t>
      </w:r>
      <w:proofErr w:type="gramStart"/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>Сценарий, отмеченный зеленым фоном выбран</w:t>
      </w:r>
      <w:proofErr w:type="gramEnd"/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 как основной для реализации ПРП и концепции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>.</w:t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087C6" wp14:editId="25259FC2">
            <wp:extent cx="6118860" cy="1952625"/>
            <wp:effectExtent l="0" t="0" r="0" b="0"/>
            <wp:docPr id="5" name="Рисунок 5" descr="Z:\Отдел промысловой ихтиологии\Рабочая\Раки\Файлы (D)\2024\Материалы ОДУ на 2025 год\РАСЧЕТЫ ОДУ на 2025 (ЭКСПЕРТИЗА)\дон\forecast\don_forec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Z:\Отдел промысловой ихтиологии\Рабочая\Раки\Файлы (D)\2024\Материалы ОДУ на 2025 год\РАСЧЕТЫ ОДУ на 2025 (ЭКСПЕРТИЗА)\дон\forecast\don_forecas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6" b="35683"/>
                    <a:stretch>
                      <a:fillRect/>
                    </a:stretch>
                  </pic:blipFill>
                  <pic:spPr>
                    <a:xfrm>
                      <a:off x="0" y="0"/>
                      <a:ext cx="6121398" cy="19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Рисунок </w:t>
      </w:r>
      <w:r w:rsidR="00F66F47" w:rsidRPr="00AA61C8">
        <w:rPr>
          <w:rFonts w:ascii="Times New Roman" w:eastAsia="SimSun" w:hAnsi="Times New Roman" w:cs="Times New Roman"/>
          <w:sz w:val="28"/>
          <w:szCs w:val="28"/>
        </w:rPr>
        <w:t>6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Прогнозные сценарии состояния биомассы запаса (слева) и промысловой смертности (справа) относительно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целевых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ориентира (и граничного ориентира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красная пунктирная линия). Синяя кривая – ретроспективные оценки, бирюзовый цвет 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SQ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статус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кво</w:t>
      </w:r>
      <w:proofErr w:type="spellEnd"/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), желтый цвет –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салатовый цвет кривой -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-15 %, красный цвет кривой 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+15 %.</w:t>
      </w:r>
    </w:p>
    <w:p w:rsidR="00312D43" w:rsidRPr="00AA61C8" w:rsidRDefault="00312D43" w:rsidP="0099608F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Полученные результаты краткосрочного прогноза, рисунок </w:t>
      </w:r>
      <w:r w:rsidR="00F66F47" w:rsidRPr="00AA61C8">
        <w:rPr>
          <w:rFonts w:ascii="Times New Roman" w:eastAsia="SimSun" w:hAnsi="Times New Roman" w:cs="Times New Roman"/>
          <w:sz w:val="28"/>
          <w:szCs w:val="28"/>
        </w:rPr>
        <w:t>6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указывают на возможность реализации любого из представленных сценариев в период 2025–2026 гг. Каждый из рассматриваемых сценариев не будет приводить к снижению биомассы запаса ниже уровня граничного ориентира в период 2025–2026 гг. При этом, промысловая смертность при всех сценариях, что обусловлено выбором этих сценариев, не будет значительно превышать целевой уровень (за исключением сценария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+15 %).</w:t>
      </w:r>
      <w:proofErr w:type="gramEnd"/>
    </w:p>
    <w:p w:rsidR="00312D43" w:rsidRPr="00AA61C8" w:rsidRDefault="00312D43" w:rsidP="0099608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Тем не менее, учитывая требования концепции предосторожного подхода и состояние популяций раков, наличие ННН-промысла, негативно влияющего на популяцию раков, наиболее рациональным является применение сценария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> -15 %. (он же сценарий предосторожного подхода). При реализации такого сценария биомасса запаса в 2025 г. составит 10,1 т. В 2023 г. улучшение размерного показателя выборки раков по сравнению с 2022 г.: средняя длина увеличилась на 7 %, что подтверждает тенденции роста запаса.</w:t>
      </w:r>
    </w:p>
    <w:p w:rsidR="00312D43" w:rsidRPr="00AA61C8" w:rsidRDefault="00312D43" w:rsidP="00F31DD9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Таким образом, при реализации сценария управления промысла на уровне 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-15 % 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биомасса промыслового запаса раков 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(виды родов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en-US"/>
        </w:rPr>
        <w:t>Astacus</w:t>
      </w:r>
      <w:proofErr w:type="spellEnd"/>
      <w:r w:rsidRPr="00AA61C8">
        <w:rPr>
          <w:rFonts w:ascii="Times New Roman" w:eastAsia="SimSun" w:hAnsi="Times New Roman" w:cs="Times New Roman"/>
          <w:b/>
          <w:i/>
          <w:sz w:val="28"/>
          <w:szCs w:val="28"/>
        </w:rPr>
        <w:t>,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en-US"/>
        </w:rPr>
        <w:t>Pontastacus</w:t>
      </w:r>
      <w:proofErr w:type="spellEnd"/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) 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>в р. Дон, включая водоемы поймы в 2025 г. составит 10,1 т.</w:t>
      </w:r>
    </w:p>
    <w:p w:rsidR="00312D43" w:rsidRPr="00AA61C8" w:rsidRDefault="00312D43" w:rsidP="00F31DD9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Обоснование рекомендуемого объема ОДУ</w:t>
      </w:r>
    </w:p>
    <w:p w:rsidR="00F66F47" w:rsidRPr="00AA61C8" w:rsidRDefault="00F66F47" w:rsidP="00F66F4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Рассмотренные краткосрочные сценарии управления запасом свидетельствуют о возможности установления ОДУ в 2025 г. на уровне от 3,2 т до 3,9 т запаса.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 учетом ранее рассмотренных обстоятельств, для управления запасом выбран сценарий изъятия на уровне предосторожного подхода к управлению промысловой смертностью, соответствующий уровню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>-15 %, при котором ОДУ в 2025 г. составит 3,2 т. Такая величина ОДУ почти в 2 раза превышающая аналогичный показатель 2023-2024 гг., обусловлена ростом промыслового запаса в 2023-2025</w:t>
      </w:r>
      <w:r w:rsidR="0013551A"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гг. </w:t>
      </w:r>
      <w:bookmarkStart w:id="19" w:name="_Hlk159421563"/>
      <w:r w:rsidRPr="00AA61C8">
        <w:rPr>
          <w:rFonts w:ascii="Times New Roman" w:eastAsia="SimSun" w:hAnsi="Times New Roman" w:cs="Times New Roman"/>
          <w:sz w:val="28"/>
          <w:szCs w:val="28"/>
        </w:rPr>
        <w:t>в условиях наблюдаемого повышения водность в бассейне р. Дон.</w:t>
      </w:r>
      <w:proofErr w:type="gramEnd"/>
    </w:p>
    <w:bookmarkEnd w:id="19"/>
    <w:p w:rsidR="00312D43" w:rsidRPr="00AA61C8" w:rsidRDefault="00312D43" w:rsidP="00F66F4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Таким образом, ОДУ раков (виды родов </w:t>
      </w:r>
      <w:proofErr w:type="spellStart"/>
      <w:r w:rsidRPr="00AA61C8">
        <w:rPr>
          <w:rFonts w:ascii="Times New Roman" w:eastAsia="SimSun" w:hAnsi="Times New Roman" w:cs="Times New Roman"/>
          <w:b/>
          <w:bCs/>
          <w:i/>
          <w:sz w:val="28"/>
          <w:szCs w:val="28"/>
        </w:rPr>
        <w:t>Astacus</w:t>
      </w:r>
      <w:proofErr w:type="spellEnd"/>
      <w:r w:rsidRPr="00AA61C8">
        <w:rPr>
          <w:rFonts w:ascii="Times New Roman" w:eastAsia="SimSu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AA61C8">
        <w:rPr>
          <w:rFonts w:ascii="Times New Roman" w:eastAsia="SimSun" w:hAnsi="Times New Roman" w:cs="Times New Roman"/>
          <w:b/>
          <w:bCs/>
          <w:i/>
          <w:sz w:val="28"/>
          <w:szCs w:val="28"/>
        </w:rPr>
        <w:t>Pontastacus</w:t>
      </w:r>
      <w:proofErr w:type="spellEnd"/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>) для р. Дон, включая водоемы поймы на 2025 г. ОДУ составит 3,2 т.</w:t>
      </w:r>
    </w:p>
    <w:p w:rsidR="00312D43" w:rsidRPr="00AA61C8" w:rsidRDefault="00312D43" w:rsidP="00F66F4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312D43" w:rsidRPr="00AA61C8" w:rsidRDefault="00312D43" w:rsidP="00F66F4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Анализ и диагностика полученных результатов</w:t>
      </w:r>
    </w:p>
    <w:p w:rsidR="00F66F47" w:rsidRPr="00AA61C8" w:rsidRDefault="00F66F47" w:rsidP="00F66F4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генеральном представлении при моделировании достигнуто схождение по всем рассматриваем параметрам продукционной модели согласно тесту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Geweke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что позволяет рассматривать текущие результаты как приемлемые. </w:t>
      </w:r>
    </w:p>
    <w:p w:rsidR="00F66F47" w:rsidRPr="00AA61C8" w:rsidRDefault="00F66F47" w:rsidP="00F66F47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Диагностика репрезентативности выполненных оценок, рисунок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3, таблица 3, свидетельствует о достаточно широких доверительных интервалах вероятностных оценок биомассы запаса и промысловой смертности в ретроспективном периоде моделирования.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Истинные показатели биомассы запаса, в среднем, могут отклоняться от медианных оценок на 50 %, а для промысловой смертности – на 93 %. Максимальное отклонение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доверительных интервалов от медианных оценок для биомассы запаса отмечено в 2023 г. и может составить до 70 %, для оценок промысловой смертности максимальное отклонение отмечено в 2023 г. и может привносить неточность в результаты до 186 %. </w:t>
      </w:r>
      <w:proofErr w:type="gramEnd"/>
    </w:p>
    <w:p w:rsidR="00F66F47" w:rsidRPr="00AA61C8" w:rsidRDefault="00F66F47" w:rsidP="00F66F4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Диагностика стабильности оценок модели и ее прогностической силы выполнена при помощи ретроспективного теста и параметрического теста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Мона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рисунок 7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Mohn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1999]. Результаты ретроспективного теста указывают на удовлетворительную надежность оценок и прогностическую силу величин биомассы запаса (не отклоняется от рекомендованного интервала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[-0,22; +0,3]) и на низкую надежность выполненных оценок и прогноза величин промысловой смертности (существенно отклоняются от рекомендованного интервала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[-0,22; +0,3]).  </w:t>
      </w:r>
    </w:p>
    <w:p w:rsidR="00F66F47" w:rsidRPr="00AA61C8" w:rsidRDefault="00F66F47" w:rsidP="00F66F47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6E8D73" wp14:editId="3F35428E">
            <wp:extent cx="6120130" cy="6993890"/>
            <wp:effectExtent l="0" t="0" r="0" b="0"/>
            <wp:docPr id="7" name="Рисунок 7" descr="Z:\Отдел промысловой ихтиологии\Рабочая\Раки\Файлы (D)\2024\Материалы ОДУ на 2025 год\РАСЧЕТЫ ОДУ на 2025 (ЭКСПЕРТИЗА)\дон\retro\Retro_fox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Z:\Отдел промысловой ихтиологии\Рабочая\Раки\Файлы (D)\2024\Материалы ОДУ на 2025 год\РАСЧЕТЫ ОДУ на 2025 (ЭКСПЕРТИЗА)\дон\retro\Retro_fox defaul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47" w:rsidRPr="00AA61C8" w:rsidRDefault="00F66F47" w:rsidP="00F66F47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</w:rPr>
      </w:pPr>
    </w:p>
    <w:p w:rsidR="00F66F47" w:rsidRPr="00AA61C8" w:rsidRDefault="00F66F47" w:rsidP="00F66F47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7 – Ретроспективный тест надежности модели с горизонтом 3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года. Слева - биомасса запаса, справа – промысловая смертность. Нижние 2 рисунка – ошибки процесса и построения продукционной кривой.</w:t>
      </w:r>
    </w:p>
    <w:p w:rsidR="00F66F47" w:rsidRPr="00AA61C8" w:rsidRDefault="00F66F47" w:rsidP="00F66F4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F66F47" w:rsidRPr="00AA61C8" w:rsidRDefault="00F66F47" w:rsidP="00F66F4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Диагностика невязок индекса улова-на-усилие от теоретических ожиданий модели представлена на рисунке 8. Диагностика невязок демонстрирует удовлетворительную надежность входного ряда данных в период 2012–2023 гг. Начиная с 2020 г. отмечаются значимые отклонения в показателях индекса улова-на-усилие от теоретических ожиданий моделирования. Рассматриваемый ряд невязок не имеет выраженного накопительного годового эффекта, стандарт распределения невязок не имеет значимых отклонений от нормального закона распределения случайных величин. </w:t>
      </w:r>
    </w:p>
    <w:p w:rsidR="00F66F47" w:rsidRPr="00AA61C8" w:rsidRDefault="00F66F47" w:rsidP="00F66F47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709E3" wp14:editId="35535488">
            <wp:extent cx="6119495" cy="4048125"/>
            <wp:effectExtent l="0" t="0" r="0" b="0"/>
            <wp:docPr id="8" name="Рисунок 8" descr="Z:\Отдел промысловой ихтиологии\Рабочая\Раки\Файлы (D)\2024\Материалы ОДУ на 2025 год\РАСЧЕТЫ ОДУ на 2025 (ЭКСПЕРТИЗА)\дон\plots\ResRunsTests_default_fox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Z:\Отдел промысловой ихтиологии\Рабочая\Раки\Файлы (D)\2024\Материалы ОДУ на 2025 год\РАСЧЕТЫ ОДУ на 2025 (ЭКСПЕРТИЗА)\дон\plots\ResRunsTests_default_fox defaul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006" cy="40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47" w:rsidRPr="00AA61C8" w:rsidRDefault="00F66F47" w:rsidP="00F66F47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</w:rPr>
      </w:pPr>
    </w:p>
    <w:p w:rsidR="00F66F47" w:rsidRPr="00AA61C8" w:rsidRDefault="00F66F47" w:rsidP="00F66F47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 8 – Диагностика невязок индекса улова-на-усилие относительно теоретических оптимальных величин продукционного моделирования. Область, отмеченная зеленым цветом – статистически не значимые отклонения. Точки, отмеченные красным цветом – статистически значимые отклонения, привносящие неопределенность в результаты моделирования.</w:t>
      </w:r>
    </w:p>
    <w:p w:rsidR="00F66F47" w:rsidRPr="00AA61C8" w:rsidRDefault="00F66F47" w:rsidP="00F66F47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F66F47" w:rsidRPr="00AA61C8" w:rsidRDefault="00F66F47" w:rsidP="00F66F4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Cs/>
          <w:sz w:val="28"/>
          <w:szCs w:val="28"/>
        </w:rPr>
        <w:t>Сравнение диагностики полученных результатов свидетельствует об ухудшении надежности и точности прогноза относительно предшествующих реализаций прогноза. Это связано со снижением вылова в 2023 г. на 41 % относительно 2022 г., увеличением объемов ННН-промысла на 107 % в 2023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г. по сравнению с 2022 г. Результаты выполненных диагностических тестов не свидетельствуют о наличии доказательств ненадежности результатов моделирования и прогноза. Диагностика результатов соответствует требованиям методических рекомендаций ВНИРО [</w:t>
      </w:r>
      <w:r w:rsidRPr="00AA61C8">
        <w:rPr>
          <w:rFonts w:ascii="Times New Roman" w:eastAsia="SimSun" w:hAnsi="Times New Roman" w:cs="Times New Roman"/>
          <w:sz w:val="28"/>
          <w:szCs w:val="28"/>
        </w:rPr>
        <w:t>Бабаян и др., 2018]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и рекомендациям международного Совета по исследованию моря (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ICES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) [</w:t>
      </w:r>
      <w:proofErr w:type="spellStart"/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Carvalho</w:t>
      </w:r>
      <w:proofErr w:type="spellEnd"/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et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al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, 2021].</w:t>
      </w:r>
    </w:p>
    <w:p w:rsidR="00402C85" w:rsidRPr="00AA61C8" w:rsidRDefault="00402C85" w:rsidP="00F66F47">
      <w:pPr>
        <w:spacing w:after="0" w:line="360" w:lineRule="auto"/>
        <w:ind w:right="141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00EFC" w:rsidRPr="00AA61C8" w:rsidRDefault="006646F5" w:rsidP="00F66F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 w:eastAsia="ru-RU"/>
        </w:rPr>
      </w:pPr>
      <w:r w:rsidRPr="00AA6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Раки</w:t>
      </w:r>
      <w:r w:rsidRPr="00AA61C8">
        <w:rPr>
          <w:rFonts w:ascii="Times New Roman" w:eastAsia="Times New Roman" w:hAnsi="Times New Roman" w:cs="Times New Roman"/>
          <w:b/>
          <w:sz w:val="28"/>
          <w:szCs w:val="28"/>
          <w:lang w:val="fr-FR" w:eastAsia="ru-RU"/>
        </w:rPr>
        <w:t xml:space="preserve"> 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>(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виды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 xml:space="preserve"> 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родов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fr-FR"/>
        </w:rPr>
        <w:t xml:space="preserve"> Astacus,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 xml:space="preserve"> 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fr-FR"/>
        </w:rPr>
        <w:t>Pontastacus</w:t>
      </w:r>
      <w:r w:rsidRPr="00AA61C8">
        <w:rPr>
          <w:rFonts w:ascii="Times New Roman" w:eastAsia="SimSun" w:hAnsi="Times New Roman" w:cs="Times New Roman"/>
          <w:b/>
          <w:sz w:val="28"/>
          <w:szCs w:val="28"/>
          <w:lang w:val="fr-FR"/>
        </w:rPr>
        <w:t>),</w:t>
      </w:r>
      <w:r w:rsidRPr="00AA61C8">
        <w:rPr>
          <w:rFonts w:ascii="Times New Roman" w:eastAsia="Times New Roman" w:hAnsi="Times New Roman" w:cs="Times New Roman"/>
          <w:b/>
          <w:sz w:val="28"/>
          <w:szCs w:val="28"/>
          <w:lang w:val="fr-FR" w:eastAsia="ru-RU"/>
        </w:rPr>
        <w:t xml:space="preserve"> </w:t>
      </w:r>
    </w:p>
    <w:p w:rsidR="006646F5" w:rsidRPr="00AA61C8" w:rsidRDefault="006646F5" w:rsidP="00F31DD9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бассейн р. Сал (12870)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Анализ доступного информационного обеспечения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/>
          <w:sz w:val="28"/>
          <w:szCs w:val="28"/>
        </w:rPr>
        <w:t>В качестве доступного информационного обеспечения имеются материалы,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собранные в ходе проведения учетных съемок в бассейне р. Сал в 2012–2023 гг., данные официальной промысловой статистики о вылове раков в 2012–2023 гг., о разрешенном количестве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2012–2023 гг. и объемах ННН-промысла в 2021-2023 гг., предоставленные Азово-Черноморским территориальным управлением Росрыболовства (АЧТУ). Информационное обеспечение прогноза соответствует II уровню [Приказ Росрыболовства от 06.02.2015 г. № 104].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В 2023 г. исследования состояния, распределения, численности и биомассы популяций раков в промысловых водоемах Ростовской области (бассейн р. Сал) проводили в течение мая-ноября. Собраны материалы по условиям обитания, биологии речного рака, пространственному распределению, половой и размерно-массовой структуре популяций, </w:t>
      </w:r>
      <w:r w:rsidRPr="00AA61C8">
        <w:rPr>
          <w:rFonts w:ascii="Times New Roman" w:hAnsi="Times New Roman"/>
          <w:sz w:val="28"/>
          <w:szCs w:val="28"/>
        </w:rPr>
        <w:lastRenderedPageBreak/>
        <w:t>встречаемости заболеваний, наличию заморных явлений в водоемах. Проведен мониторинг промысла.</w:t>
      </w:r>
    </w:p>
    <w:p w:rsidR="00312D43" w:rsidRPr="00AA61C8" w:rsidRDefault="00312D43" w:rsidP="00F31DD9">
      <w:pPr>
        <w:spacing w:after="0" w:line="360" w:lineRule="auto"/>
        <w:ind w:firstLine="708"/>
        <w:jc w:val="both"/>
        <w:rPr>
          <w:rFonts w:ascii="Times New Roman" w:eastAsia="SimSun" w:hAnsi="Times New Roman"/>
          <w:bCs/>
          <w:sz w:val="28"/>
          <w:szCs w:val="28"/>
        </w:rPr>
      </w:pPr>
      <w:r w:rsidRPr="00AA61C8">
        <w:rPr>
          <w:rFonts w:ascii="Times New Roman" w:hAnsi="Times New Roman"/>
          <w:sz w:val="28"/>
          <w:szCs w:val="28"/>
        </w:rPr>
        <w:t xml:space="preserve">Исследования проводились на 6 станциях в бассейне р. Сал. Карта-схема расположения учетных станций представлена на </w:t>
      </w:r>
      <w:r w:rsidRPr="00AA61C8">
        <w:rPr>
          <w:rFonts w:ascii="Times New Roman" w:eastAsia="SimSun" w:hAnsi="Times New Roman"/>
          <w:bCs/>
          <w:sz w:val="28"/>
          <w:szCs w:val="28"/>
        </w:rPr>
        <w:t>рисунке </w:t>
      </w:r>
      <w:r w:rsidR="00EB4CE6" w:rsidRPr="00AA61C8">
        <w:rPr>
          <w:rFonts w:ascii="Times New Roman" w:eastAsia="SimSun" w:hAnsi="Times New Roman"/>
          <w:bCs/>
          <w:sz w:val="28"/>
          <w:szCs w:val="28"/>
        </w:rPr>
        <w:t>9</w:t>
      </w:r>
      <w:r w:rsidRPr="00AA61C8">
        <w:rPr>
          <w:rFonts w:ascii="Times New Roman" w:eastAsia="SimSun" w:hAnsi="Times New Roman"/>
          <w:bCs/>
          <w:sz w:val="28"/>
          <w:szCs w:val="28"/>
        </w:rPr>
        <w:t xml:space="preserve">. </w:t>
      </w:r>
    </w:p>
    <w:p w:rsidR="00312D43" w:rsidRPr="00AA61C8" w:rsidRDefault="00312D43" w:rsidP="00F31DD9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F31DD9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58DEC40A" wp14:editId="75139D47">
            <wp:extent cx="6153150" cy="1666875"/>
            <wp:effectExtent l="0" t="0" r="0" b="9525"/>
            <wp:docPr id="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43" w:rsidRPr="00AA61C8" w:rsidRDefault="00312D43" w:rsidP="00F31DD9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F31DD9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</w:t>
      </w:r>
      <w:r w:rsidR="00EB4CE6" w:rsidRPr="00AA61C8">
        <w:rPr>
          <w:rFonts w:ascii="Times New Roman" w:eastAsia="SimSun" w:hAnsi="Times New Roman" w:cs="Times New Roman"/>
          <w:sz w:val="28"/>
          <w:szCs w:val="28"/>
        </w:rPr>
        <w:t>9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Карта-схема расположения станций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астакологических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съемок в бассейне р. Сал в 2012–2023 гг.</w:t>
      </w:r>
    </w:p>
    <w:p w:rsidR="00312D43" w:rsidRPr="00AA61C8" w:rsidRDefault="00312D43" w:rsidP="00F31DD9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12D43" w:rsidRPr="00AA61C8" w:rsidRDefault="00312D43" w:rsidP="00F31DD9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качестве орудий лова использовались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 размером (шагом) ячеи 16 мм. Объем собранного и проанализированного материала в 2023 г. получен из </w:t>
      </w:r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уловов </w:t>
      </w:r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620 </w:t>
      </w:r>
      <w:proofErr w:type="spellStart"/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раколовок</w:t>
      </w:r>
      <w:proofErr w:type="spellEnd"/>
      <w:r w:rsidRPr="00AA61C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Pr="00AA61C8">
        <w:rPr>
          <w:rFonts w:ascii="Times New Roman" w:eastAsia="SimSun" w:hAnsi="Times New Roman" w:cs="Times New Roman"/>
          <w:sz w:val="28"/>
          <w:szCs w:val="28"/>
        </w:rPr>
        <w:t>Биологический анализ заключался в учете размерно-массовых и половых характеристик особей, выполнен для 590 раков.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Обоснование выбора методов оценки запаса</w:t>
      </w:r>
    </w:p>
    <w:p w:rsidR="00312D43" w:rsidRPr="00AA61C8" w:rsidRDefault="00312D43" w:rsidP="00F31DD9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водоемах Ростовской области раки обитают повсеместно и представлены видом рода </w:t>
      </w:r>
      <w:proofErr w:type="spellStart"/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>Pontastacus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</w:t>
      </w:r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Р. 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cubanicus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в отношении которого осуществляется промышленное рыболовство. Сбор материала проводили по сетке станций 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утвержденной Программой научно-исследовательских работ. 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До 2020 г. промысловый запас раков в водных объектах Ростовской обл. определялся площадным методом по данным учетных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астакологических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съемок с применением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[Рекомендации по оценке возможности использования…, 2002], т.е. тех же орудий лова, которые используются в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промысле. Площадной метод относится к эмпирическим методам. Главное его достоинство – получение независимых от промысла оценок запаса.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Исходя из наличия доступной информации (исторические ряды вылова и количества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2012–</w:t>
      </w:r>
      <w:r w:rsidRPr="00AA61C8">
        <w:rPr>
          <w:rFonts w:ascii="Times New Roman" w:eastAsia="SimSun" w:hAnsi="Times New Roman" w:cs="Times New Roman"/>
          <w:sz w:val="28"/>
          <w:szCs w:val="28"/>
        </w:rPr>
        <w:t>2023 гг.), запас раков в бассейн р. Сал с притоками формально соответствует II уровню информационной обеспеченности, предполагающий использование ограниченного аналитического оценивания посредством продукционных моделей. В 2024 г. при подготовке материалов к определению ОДУ на 2025 г. в качестве основного метода с учетом опыта составления прогноза в 2023 г. были применены динамические продукционные модели, реализованные в программных комплексах JABBA [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Winker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et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al</w:t>
      </w:r>
      <w:r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2019].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пользу выбора продукционных моделей свидетельствует наличие соответствующей исходной информации и положительного опыта работы специалистов «АзНИИРХ» с вышеуказанным программным обеспечением, в том числе для обоснования ОДУ раков. Низкое качество входных данных по вылову и промысловым усилиям в бассейне р. Сал, наличие количественных оценок ННН-промысла только за 2021–2023 гг., а также короткие временные ряды создавали определенные трудности в реализации продукционных моделей, однако они не стали непреодолимым препятствием для их применения для обоснования на 2025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г. ОДУ раков. </w:t>
      </w:r>
    </w:p>
    <w:p w:rsidR="00312D43" w:rsidRPr="00AA61C8" w:rsidRDefault="00312D43" w:rsidP="00F31DD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2017–2018 гг. вылов раков в бассейне р.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Сал не осуществлялся ввиду отсутствия промысловых участков. Особенностью комплекса JABBA является недопустимость пропусков во входных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рядах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данных по вылову и уловам на единицу усилия.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Учитывая то, что пропуски данных в 2017–2018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гг. не были связаны с изменениями в состоянии исследуемого запаса раков, они были искусственно заполнены их экспертными оценками на основе интерполяции фактических данных в 2015–2016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г. и 2019–2020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гг. с сохранением наблюдаемой тенденции в 2016–2019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гг. Принципиальная допустимость подобной операции рассматривалась на Отраслевом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методологическом семинаре по изучению современных методов оценки и рационального использования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водных биологических ресурсов (7-11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октября 2019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г., г.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Сочи). </w:t>
      </w:r>
    </w:p>
    <w:p w:rsidR="00312D43" w:rsidRPr="00AA61C8" w:rsidRDefault="00312D43" w:rsidP="00F31DD9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Наличие промысловой статистики о величинах общего годового вылова и количества разрешенных орудий лова за период 2013–2023 г. позволяет отнести информационное обеспечение прогноза ко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II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-информационному уровню. Имеющийся ряд данных за 11 лет с учетом методических рекомендаций для материалов, обосновывающих ОДУ [Бабаян и др., 2018] может быть обработан при помощи продукционных моделей. </w:t>
      </w:r>
    </w:p>
    <w:p w:rsidR="00312D43" w:rsidRPr="00AA61C8" w:rsidRDefault="00312D43" w:rsidP="00F31DD9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Тем не менее, имеющаяся высокая доля неопределенности в данных промысловой статистики и отсутствие непрерывных оценок объемов ННН-промысла требует априорной параметризации модели, с учетом выполненных ранее оценок запаса прямым учетом, а также включения в модель алгоритма корректировки объемов вылова в сторону увеличения для частичной компенсации влияния ННН-промысла. </w:t>
      </w:r>
    </w:p>
    <w:p w:rsidR="00312D43" w:rsidRPr="00AA61C8" w:rsidRDefault="00312D43" w:rsidP="00700530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этапе предварительной диагностики различных методов продукционного моделирования реализации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Combi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4.0 [Бабаян и др., 2018]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SPiCT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Peders</w:t>
      </w:r>
      <w:proofErr w:type="spellEnd"/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е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n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Berg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2017] показали неудовлетворительную параметризацию моделей в виду невозможности обнаружения оптимумов параметров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K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q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Низкая надежность оценивания параметров и их частичное смещение за интервалы оптимумов обуславливалось низкой репрезентативностью входных данных.  </w:t>
      </w:r>
    </w:p>
    <w:p w:rsidR="00312D43" w:rsidRPr="00AA61C8" w:rsidRDefault="00312D43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связи с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вышеизложенным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для оценки промыслового запаса и общего допустимого улова раков в р. Сал использовался программный комплекс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Mourato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et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al</w:t>
      </w:r>
      <w:r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2018;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Winker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et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al</w:t>
      </w:r>
      <w:r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2019;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Sant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’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Ana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et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al</w:t>
      </w:r>
      <w:r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2020]. В отличие от большинства других программных пакетов, программный комплекс JABBA позволяет выполнять априорную параметризацию модели и производить расширенную диагностику полученных результатов. Комплекс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lastRenderedPageBreak/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позволяет реализовать продукционные модели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Шефера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Фокса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Пелла-Томлинсона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оценить параметры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K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q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продукционного уравнения.</w:t>
      </w:r>
    </w:p>
    <w:p w:rsidR="006646F5" w:rsidRPr="00AA61C8" w:rsidRDefault="006646F5" w:rsidP="00700530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bookmarkStart w:id="20" w:name="_Hlk64301298"/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Ретроспективный анализ состояния запаса и промысла</w:t>
      </w:r>
    </w:p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Бассейн р. Сал является традиционным районом промысла раков. Промысловыми водоемами являются р. Сал с притоками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Джурак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-Сал,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Куберле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Кара-Сал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Акшибай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). </w:t>
      </w:r>
    </w:p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Облавливаемая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раколовками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часть популяции, как правило, представлена 3 промысловыми группами и группой пополнения промыслового запаса. Промысловую часть популяции составляют раки длиной более 10 см. Среди них во всех промысловых водоемах доминируют особи длиной 10,1-12,0 см (условно принятые как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 промысловая группа). Особей размером 12,1-14,0 см относят к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II</w:t>
      </w:r>
      <w:r w:rsidRPr="00AA61C8">
        <w:rPr>
          <w:rFonts w:ascii="Times New Roman" w:eastAsia="SimSun" w:hAnsi="Times New Roman" w:cs="Times New Roman"/>
          <w:sz w:val="28"/>
          <w:szCs w:val="28"/>
        </w:rPr>
        <w:t> промысловой группе. Крупные раки (более 14 см) в последние годы в уловах малочисленны. Раки размером менее 10 см составляют группы пополнения промысловой части популяций. Так особи размером 9,1-10,0 см пополнят промысловые запасы в следующем за годом исследований году. Раки размером 7,1-9,0 см пополнят промысловые запасы через 2 года.</w:t>
      </w:r>
    </w:p>
    <w:p w:rsidR="00136FF4" w:rsidRPr="00AA61C8" w:rsidRDefault="00136FF4" w:rsidP="00700530">
      <w:pPr>
        <w:tabs>
          <w:tab w:val="left" w:pos="192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Размерная структура скоплений раков, зарегистрированная в учетных орудиях лова (рисунок 10), свидетельствует о наличии двух различных периодов состояния скоплений раков.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 период 2018–2019 гг. модальный класс уловов был представлен первой промысловой группой с интервалом длин 10,1–11,0 и 11,1–12 см. Средняя длина в данный период изменялась незначительно и составляла от 10,9 до 11,3 см. В последующий период, 2020–2022 гг., основу структуры скоплений составляли особи непромысловых размеров, в интервалах длин менее 10 см. Средняя длина облавливаемых скоплений в данный период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составляла 9,2–9,8 см. В 2023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г. модальный класс уловов был представлен первой промысловой группой со средней длиной 10,3 см.</w:t>
      </w:r>
    </w:p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684"/>
        <w:gridCol w:w="4887"/>
      </w:tblGrid>
      <w:tr w:rsidR="004552B6" w:rsidRPr="00AA61C8" w:rsidTr="004552B6">
        <w:tc>
          <w:tcPr>
            <w:tcW w:w="4712" w:type="dxa"/>
          </w:tcPr>
          <w:p w:rsidR="004552B6" w:rsidRPr="00AA61C8" w:rsidRDefault="004552B6" w:rsidP="00700530">
            <w:pPr>
              <w:tabs>
                <w:tab w:val="left" w:pos="192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0C85B158" wp14:editId="7FF13CE1">
                  <wp:extent cx="2933700" cy="25336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4552B6" w:rsidRPr="00AA61C8" w:rsidRDefault="004552B6" w:rsidP="00700530">
            <w:pPr>
              <w:tabs>
                <w:tab w:val="left" w:pos="192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64B9819E" wp14:editId="3BAE6A3B">
                  <wp:extent cx="3059430" cy="2489200"/>
                  <wp:effectExtent l="0" t="0" r="7620" b="6350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4552B6" w:rsidRPr="00AA61C8" w:rsidTr="004552B6">
        <w:tc>
          <w:tcPr>
            <w:tcW w:w="4712" w:type="dxa"/>
          </w:tcPr>
          <w:p w:rsidR="004552B6" w:rsidRPr="00AA61C8" w:rsidRDefault="004552B6" w:rsidP="00700530">
            <w:pPr>
              <w:tabs>
                <w:tab w:val="left" w:pos="192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2D2E3F7D" wp14:editId="62466105">
                  <wp:extent cx="2933700" cy="2505075"/>
                  <wp:effectExtent l="0" t="0" r="0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4552B6" w:rsidRPr="00AA61C8" w:rsidRDefault="004552B6" w:rsidP="00700530">
            <w:pPr>
              <w:tabs>
                <w:tab w:val="left" w:pos="192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4104E903" wp14:editId="746BFD04">
                  <wp:extent cx="3054985" cy="2624667"/>
                  <wp:effectExtent l="0" t="0" r="0" b="4445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4552B6" w:rsidRPr="00AA61C8" w:rsidTr="004552B6">
        <w:tc>
          <w:tcPr>
            <w:tcW w:w="4712" w:type="dxa"/>
          </w:tcPr>
          <w:p w:rsidR="004552B6" w:rsidRPr="00AA61C8" w:rsidRDefault="004552B6" w:rsidP="00700530">
            <w:pPr>
              <w:tabs>
                <w:tab w:val="left" w:pos="192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DD675FD" wp14:editId="57796E8F">
                  <wp:extent cx="2876550" cy="2209800"/>
                  <wp:effectExtent l="0" t="0" r="0" b="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4552B6" w:rsidRPr="00AA61C8" w:rsidRDefault="004552B6" w:rsidP="00700530">
            <w:pPr>
              <w:tabs>
                <w:tab w:val="left" w:pos="192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68934355" wp14:editId="748AF67B">
                  <wp:extent cx="3059430" cy="2226734"/>
                  <wp:effectExtent l="0" t="0" r="7620" b="254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:rsidR="004552B6" w:rsidRPr="00AA61C8" w:rsidRDefault="004552B6" w:rsidP="00700530">
      <w:pPr>
        <w:tabs>
          <w:tab w:val="left" w:pos="192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700530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</w:t>
      </w:r>
      <w:r w:rsidR="00EB4CE6" w:rsidRPr="00AA61C8">
        <w:rPr>
          <w:rFonts w:ascii="Times New Roman" w:eastAsia="SimSun" w:hAnsi="Times New Roman" w:cs="Times New Roman"/>
          <w:sz w:val="28"/>
          <w:szCs w:val="28"/>
        </w:rPr>
        <w:t>10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Размерная структура популяции раков в бассейне р. Сал</w:t>
      </w:r>
    </w:p>
    <w:p w:rsidR="004552B6" w:rsidRPr="00AA61C8" w:rsidRDefault="004552B6" w:rsidP="00700530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2018–2023 гг.</w:t>
      </w:r>
    </w:p>
    <w:p w:rsidR="004552B6" w:rsidRPr="00AA61C8" w:rsidRDefault="004552B6" w:rsidP="00700530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По данным учетных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астакологических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съемок в водоемах бассейна в последние 10 лет происходило последовательное уменьшение величины запаса с 68,1 т (2013 г.) до 17,5 т (2023 г.) (таблица </w:t>
      </w:r>
      <w:r w:rsidR="00F31DD9" w:rsidRPr="00AA61C8">
        <w:rPr>
          <w:rFonts w:ascii="Times New Roman" w:eastAsia="SimSun" w:hAnsi="Times New Roman" w:cs="Times New Roman"/>
          <w:sz w:val="28"/>
          <w:szCs w:val="28"/>
        </w:rPr>
        <w:t>17</w:t>
      </w:r>
      <w:r w:rsidRPr="00AA61C8">
        <w:rPr>
          <w:rFonts w:ascii="Times New Roman" w:eastAsia="SimSun" w:hAnsi="Times New Roman" w:cs="Times New Roman"/>
          <w:sz w:val="28"/>
          <w:szCs w:val="28"/>
        </w:rPr>
        <w:t>). Несмотря на количественное сокращение промысловой части популяции, структура промысловых уловов была относительно стабильной. Доля промысловых особей раков была на уровне 35–82 % уловов. При сокращении промыслового запаса в исследуемый период более чем 2 раза величина ОДУ снизилась с 16,6 т (2012 г.) до 7,6 т в 2023 г. Освоение ОДУ было на уровне 7,8–83,0 %.</w:t>
      </w:r>
    </w:p>
    <w:p w:rsidR="00AA2ECC" w:rsidRPr="00AA61C8" w:rsidRDefault="00AA2ECC" w:rsidP="00700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</w:rPr>
        <w:t xml:space="preserve">Оценку запасов раков в бассейне р. Сал </w:t>
      </w:r>
      <w:proofErr w:type="gramStart"/>
      <w:r w:rsidRPr="00AA61C8">
        <w:rPr>
          <w:rFonts w:ascii="Times New Roman" w:hAnsi="Times New Roman" w:cs="Times New Roman"/>
          <w:sz w:val="28"/>
          <w:szCs w:val="28"/>
        </w:rPr>
        <w:t>выполнена</w:t>
      </w:r>
      <w:proofErr w:type="gramEnd"/>
      <w:r w:rsidRPr="00AA61C8">
        <w:rPr>
          <w:rFonts w:ascii="Times New Roman" w:hAnsi="Times New Roman" w:cs="Times New Roman"/>
          <w:sz w:val="28"/>
          <w:szCs w:val="28"/>
        </w:rPr>
        <w:t xml:space="preserve"> аналогично р. Дон, включая водоемы поймы. До 2021 г. расчет промыслового запаса осуществляли методом прямого учета [Глушко, 2019]. В период 2021–2023 гг. оценку запасов раков выполнялась на основе трендового моделирования. Практика применения ППП «JABBA» с априорной параметризацией для оценки запасов раков в бассейне р. Сал впервые выполнена начиная с 2024 г. В результате выполненной апробации оценивание на основе ППП «JABBA» признано состоятельным и внедрено в практику подготовки материалов прогноза ОДУ. [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Пятинский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 и др., 2023].</w:t>
      </w:r>
    </w:p>
    <w:p w:rsidR="00AA2ECC" w:rsidRPr="00AA61C8" w:rsidRDefault="00AA2ECC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iCs/>
          <w:sz w:val="28"/>
          <w:szCs w:val="28"/>
        </w:rPr>
        <w:t xml:space="preserve">В соответствии с применяемыми методами оценки запаса показатели запаса в 2022–2023 гг. были значительно ниже предшествующих оценок (2012–2021 гг.). Это было обусловлено как ухудшением размерных характеристик запаса в предшествующие этому периоду годы 2021–2022 г. (рисунок 10) так и методическими особенностями применяемого подхода. При использовании трендовых моделей для прогноза запаса на 2022–2023 гг. выполнялась оценка мгновенной биомассы промыслового запаса на любой момент года. В предшествующий период (2012–2021 гг.) при оценке состояния запаса его биомасса оценивалась на начало года, до момента осуществления промысла. В соответствии с этими методическими особенностями, различия в оценках заключаются в моменте </w:t>
      </w:r>
      <w:proofErr w:type="gramStart"/>
      <w:r w:rsidRPr="00AA61C8">
        <w:rPr>
          <w:rFonts w:ascii="Times New Roman" w:eastAsia="SimSun" w:hAnsi="Times New Roman" w:cs="Times New Roman"/>
          <w:iCs/>
          <w:sz w:val="28"/>
          <w:szCs w:val="28"/>
        </w:rPr>
        <w:t xml:space="preserve">учета вступления </w:t>
      </w:r>
      <w:r w:rsidRPr="00AA61C8">
        <w:rPr>
          <w:rFonts w:ascii="Times New Roman" w:eastAsia="SimSun" w:hAnsi="Times New Roman" w:cs="Times New Roman"/>
          <w:iCs/>
          <w:sz w:val="28"/>
          <w:szCs w:val="28"/>
        </w:rPr>
        <w:lastRenderedPageBreak/>
        <w:t>особей группы пополнения</w:t>
      </w:r>
      <w:proofErr w:type="gramEnd"/>
      <w:r w:rsidRPr="00AA61C8">
        <w:rPr>
          <w:rFonts w:ascii="Times New Roman" w:eastAsia="SimSun" w:hAnsi="Times New Roman" w:cs="Times New Roman"/>
          <w:iCs/>
          <w:sz w:val="28"/>
          <w:szCs w:val="28"/>
        </w:rPr>
        <w:t xml:space="preserve"> в промысловый запас и момента осуществления промыслового изъятия.</w:t>
      </w:r>
    </w:p>
    <w:p w:rsidR="004552B6" w:rsidRPr="00AA61C8" w:rsidRDefault="004552B6" w:rsidP="00700530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700530">
      <w:pPr>
        <w:spacing w:after="12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 </w:t>
      </w:r>
      <w:r w:rsidR="00F31DD9" w:rsidRPr="00AA61C8">
        <w:rPr>
          <w:rFonts w:ascii="Times New Roman" w:eastAsia="SimSun" w:hAnsi="Times New Roman" w:cs="Times New Roman"/>
          <w:sz w:val="28"/>
          <w:szCs w:val="28"/>
        </w:rPr>
        <w:t>17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Промысловый запас, ОДУ, вылов и освоение ОДУ раков в бассейне р. Сал в период 2012–2023 гг.</w:t>
      </w:r>
    </w:p>
    <w:p w:rsidR="004552B6" w:rsidRPr="00AA61C8" w:rsidRDefault="004552B6" w:rsidP="00700530">
      <w:pPr>
        <w:spacing w:after="12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5094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797"/>
        <w:gridCol w:w="2132"/>
        <w:gridCol w:w="950"/>
        <w:gridCol w:w="1227"/>
        <w:gridCol w:w="1599"/>
        <w:gridCol w:w="3046"/>
      </w:tblGrid>
      <w:tr w:rsidR="004552B6" w:rsidRPr="00AA61C8" w:rsidTr="00700530">
        <w:trPr>
          <w:trHeight w:val="325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Промысловый запас, 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ОДУ,</w:t>
            </w:r>
            <w:r w:rsidR="00700530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Вылов,</w:t>
            </w:r>
            <w:r w:rsidR="00700530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  <w:r w:rsidR="00700530"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освоения 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4552B6" w:rsidRPr="00AA61C8" w:rsidTr="00700530">
        <w:trPr>
          <w:trHeight w:val="325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71,8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16,6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7,8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4552B6" w:rsidRPr="00AA61C8" w:rsidTr="00700530">
        <w:trPr>
          <w:trHeight w:val="325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2013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68,1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16,1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47,4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4552B6" w:rsidRPr="00AA61C8" w:rsidTr="00700530">
        <w:trPr>
          <w:trHeight w:val="173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62,7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16,2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4552B6" w:rsidRPr="00AA61C8" w:rsidTr="00700530">
        <w:trPr>
          <w:trHeight w:val="178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58,3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4552B6" w:rsidRPr="00AA61C8" w:rsidTr="00700530">
        <w:trPr>
          <w:trHeight w:val="181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4552B6" w:rsidRPr="00AA61C8" w:rsidTr="00700530">
        <w:trPr>
          <w:trHeight w:val="313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52,7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ind w:left="-248" w:right="-141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промысел не проводили</w:t>
            </w:r>
          </w:p>
        </w:tc>
      </w:tr>
      <w:tr w:rsidR="004552B6" w:rsidRPr="00AA61C8" w:rsidTr="00700530">
        <w:trPr>
          <w:trHeight w:val="276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11,9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ind w:left="-248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промысел не проводили</w:t>
            </w:r>
          </w:p>
        </w:tc>
      </w:tr>
      <w:tr w:rsidR="004552B6" w:rsidRPr="00AA61C8" w:rsidTr="00700530">
        <w:trPr>
          <w:trHeight w:val="280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4552B6" w:rsidRPr="00AA61C8" w:rsidTr="00700530">
        <w:trPr>
          <w:trHeight w:val="280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44,9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70,6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52B6" w:rsidRPr="00AA61C8" w:rsidTr="00700530">
        <w:trPr>
          <w:trHeight w:val="280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7,3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64,4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52B6" w:rsidRPr="00AA61C8" w:rsidTr="00700530">
        <w:trPr>
          <w:trHeight w:val="280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83,0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52B6" w:rsidRPr="00AA61C8" w:rsidTr="00700530">
        <w:trPr>
          <w:trHeight w:val="280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19,7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B6" w:rsidRPr="00AA61C8" w:rsidRDefault="004552B6" w:rsidP="00700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акватории бассейна р. Сал промысловым объектом являются только раки. Для промысла разрешено использовать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стандартной конструкции, установленной для всех промысловых водоемов Ростовской области.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Помимо промышленного лова раков осуществляется любительское рыболовство, которое не учитывается промысловой статистикой. Имеет место и ННН-промысел.</w:t>
      </w:r>
    </w:p>
    <w:p w:rsidR="004552B6" w:rsidRPr="00AA61C8" w:rsidRDefault="004552B6" w:rsidP="0070053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По данным официальной промысловой статистики АЧТУ, добыча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раков в период 2012–2016 гг. в бассейне р. Сал варьировала на уровне 1,3–8,3 т. Освоение объемов ОДУ в разные годы составляло от 7,8 % до 62,0 %. В 2017–2018 гг. промысел не осуществлялся по ряду организационных причин. В 2019 г. вылов раков составил 1,6 т (освоение 14,5 %), в 2020 г. – 7,9 т, а освоено было</w:t>
      </w:r>
      <w:r w:rsidRPr="00AA61C8">
        <w:rPr>
          <w:rFonts w:ascii="Times New Roman" w:eastAsia="SimSun" w:hAnsi="Times New Roman" w:cs="Times New Roman"/>
          <w:color w:val="FF0000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70,6</w:t>
      </w:r>
      <w:r w:rsidRPr="00AA61C8">
        <w:rPr>
          <w:rFonts w:ascii="Times New Roman" w:eastAsia="SimSun" w:hAnsi="Times New Roman" w:cs="Times New Roman"/>
          <w:sz w:val="28"/>
          <w:szCs w:val="28"/>
        </w:rPr>
        <w:t> % объемов ОДУ, в 2021 г. – 64,4 %, в 2022 г. – 10,3 т, что составляет 83 % освоения от объемов ОДУ. В 2023 г. вылов снизился до 1,5 т, что составляет 19,7 % освоения ОДУ.</w:t>
      </w:r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 Формирование гидрологического режима бассейна р. Сал в современный период происходит под влиянием неблагоприятных климатических условий в виде сочетания нескольких факторов: повышение зимних температур воздуха, уменьшение количества твердых осадков, снижение </w:t>
      </w:r>
      <w:proofErr w:type="spell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снегозапаса</w:t>
      </w:r>
      <w:proofErr w:type="spellEnd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, недостаточное увлажнение почвы, связанное с повышением температуры в летне-осенний период. Это способствует росту потерь весеннего стока и потерь на испарение, в комплексе определяющих дефицит водных </w:t>
      </w:r>
      <w:proofErr w:type="gram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ресурсов</w:t>
      </w:r>
      <w:proofErr w:type="gramEnd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 как в сезонном, так и в многолетнем разрезе [</w:t>
      </w:r>
      <w:proofErr w:type="spellStart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Джамалов</w:t>
      </w:r>
      <w:proofErr w:type="spellEnd"/>
      <w:r w:rsidRPr="00AA61C8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 xml:space="preserve"> и др., 2017]. </w:t>
      </w:r>
    </w:p>
    <w:p w:rsidR="004552B6" w:rsidRPr="00AA61C8" w:rsidRDefault="004552B6" w:rsidP="00700530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Представленный обзор промысловой статистики за прошедшие 10 лет свидетельствует о постепенном сокращении биомассы промыслового запаса раков в р. Сал на фоне постепенно возрастающих объемов официальной добычи в период 2012–2016</w:t>
      </w:r>
      <w:r w:rsidR="00F31DD9" w:rsidRPr="00AA61C8">
        <w:rPr>
          <w:rFonts w:ascii="Times New Roman" w:eastAsia="SimSun" w:hAnsi="Times New Roman" w:cs="Times New Roman"/>
          <w:sz w:val="28"/>
          <w:szCs w:val="28"/>
        </w:rPr>
        <w:t xml:space="preserve"> гг.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 постепенным сокращением официальной добычи в 2019–2021 гг. относительно предшествующего периода, в 2023</w:t>
      </w:r>
      <w:r w:rsidR="00F31DD9"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г. вылов понизился до уровня 2019</w:t>
      </w:r>
      <w:r w:rsidR="00F31DD9"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г. Следует заметить, что процент освоения квоты ОДУ за рассматриваемый период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ни разу не превышал 83 %, а средняя доля освоения ОДУ составляла 48,5 %. Такая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рыбохозяйственная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статистика косвенно свидетельствует о том, что влияние официальных объемов добычи на запас не является главенствующим фактором и косвенно указывает на наличие высоких объемов ННН-промысла. </w:t>
      </w:r>
    </w:p>
    <w:p w:rsidR="004552B6" w:rsidRPr="00AA61C8" w:rsidRDefault="004552B6" w:rsidP="00700530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По данным, полученным при выполнении сотрудниками рыбоохраны АЧТУ правоохранительных мероприятий, в бассейне р. Сал в 2021 г. было изъято 1313 браконьерских орудий лова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ловушки), что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составило более 68,0 % от разрешенного количества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Правилами рыболовства.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Общий объем незаконно изъятых промысловых биоресурсов составил 0,13 т. В 2022 г. было изъято 613 неучтенных орудий лова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ловушки), объем незаконно изъятых промысловых биоресурсов составил 0,14 т. В 2023 г. было изъято 2835 неучтенных орудий лова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 ловушки), объем незаконно изъятых промысловых биоресурсов составил 0,29 т, что больше, чем в 2022 г. на 107 %.</w:t>
      </w:r>
      <w:proofErr w:type="gramEnd"/>
    </w:p>
    <w:p w:rsidR="004552B6" w:rsidRPr="00AA61C8" w:rsidRDefault="004552B6" w:rsidP="00700530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На основе ретроспективных данных об улове (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улове на одну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раколовку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CPUE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была построена модель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 применением расширенной априорной параметризации. В соответствии с работой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Musick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Musick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 1999] и информацией о биологических параметрах раков и близкородственных видов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широкопалого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Astacus</w:t>
      </w:r>
      <w:proofErr w:type="spellEnd"/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astacus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длиннопалого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gram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Р</w:t>
      </w:r>
      <w:proofErr w:type="spellStart"/>
      <w:proofErr w:type="gramEnd"/>
      <w:r w:rsidRPr="00AA61C8">
        <w:rPr>
          <w:rFonts w:ascii="Times New Roman" w:eastAsia="SimSun" w:hAnsi="Times New Roman" w:cs="Times New Roman"/>
          <w:i/>
          <w:sz w:val="28"/>
          <w:szCs w:val="28"/>
          <w:lang w:val="en-US"/>
        </w:rPr>
        <w:t>ontastacus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leptodactylus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рака, диапазон поиска оптимума параметра популяционной пластичности определен на уровне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[0,16; 0,5]. Диапазон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поиска оптимума параметра емкости среды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задан на уровне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K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[84, 100] т на уровне ранее выполненных максимальных оценок биомассы запаса площадным методом в 2015–2019 гг., увеличенным на 1,5 и 1,8 верхней и нижней границы поиска соответственно [Глушко, 2019]. </w:t>
      </w:r>
    </w:p>
    <w:p w:rsidR="004552B6" w:rsidRPr="00AA61C8" w:rsidRDefault="004552B6" w:rsidP="00700530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В качестве априорной точки состояния запаса в модели было определено состояние биомассы запаса, близкое к рациональному в 2015 г.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1,1,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sd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0,2 в 2015 г.) исходя из результатов работы, указывающей на постепенное сокращение запаса в последующие годы [Глушко, 2019] и стабильный уровень запаса и годового вылова в 2015 г. </w:t>
      </w:r>
      <w:proofErr w:type="gramEnd"/>
    </w:p>
    <w:p w:rsidR="004552B6" w:rsidRPr="00AA61C8" w:rsidRDefault="004552B6" w:rsidP="00700530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косвенного учета вклада ННН-добычи в состояние популяции была применена априорная параметризация возможности уточнения (корректировки) статистики вылова моделью исходя из оптимальных теоретических соображений ее подгонки.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Был задан параметр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catch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cv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1,3, что позволяло корректировать модели величину годового вылова в сторону увеличения до 50 % от уровня среднемноголетнего вылова);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catch.error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under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(вероятность наличия ошибок в рыбопромысловой статистике с систематической недооценкой).</w:t>
      </w:r>
      <w:proofErr w:type="gramEnd"/>
    </w:p>
    <w:p w:rsidR="004552B6" w:rsidRPr="00AA61C8" w:rsidRDefault="004552B6" w:rsidP="00700530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ходе процедуры выбора наилучшей реализации продукционной модели в комплексе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были проверены модели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Шефера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Фокса 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Пелла-Томлинсона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Наилучшая статистическая диагностика была достигнута при реализации модели Фокса.</w:t>
      </w:r>
    </w:p>
    <w:p w:rsidR="004552B6" w:rsidRPr="00AA61C8" w:rsidRDefault="004552B6" w:rsidP="0070053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Результаты оценок биомассы запаса раков, промысловой смертности и их 95 % доверительных интервалов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CI</w:t>
      </w:r>
      <w:r w:rsidRPr="00AA61C8">
        <w:rPr>
          <w:rFonts w:ascii="Times New Roman" w:eastAsia="SimSun" w:hAnsi="Times New Roman" w:cs="Times New Roman"/>
          <w:sz w:val="28"/>
          <w:szCs w:val="28"/>
        </w:rPr>
        <w:t>95) представлены в таблице 1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8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Результаты оценки параметров продукционного уравнения и их 95 % доверительные интервалы представлены в таблице 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19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 1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8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Результаты ретроспективных оценок биомассы запаса и промысловой смертности раков в бассейне р. Сал при помощи модели Фокса в комплексе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период 2012–2023 гг. (ретроспективная модель).</w:t>
      </w:r>
    </w:p>
    <w:p w:rsidR="004552B6" w:rsidRPr="00AA61C8" w:rsidRDefault="004552B6" w:rsidP="00D85128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tbl>
      <w:tblPr>
        <w:tblW w:w="983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1747"/>
        <w:gridCol w:w="2410"/>
        <w:gridCol w:w="1994"/>
        <w:gridCol w:w="2433"/>
      </w:tblGrid>
      <w:tr w:rsidR="00D85128" w:rsidRPr="00AA61C8" w:rsidTr="000B6BE0">
        <w:trPr>
          <w:trHeight w:hRule="exact" w:val="1929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</w:p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(биомасса запаса, 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B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CI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95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(доверительный интервал 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 т)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</w:t>
            </w:r>
          </w:p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(промысловая смертность)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CI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95 (доверительный интервал</w:t>
            </w:r>
            <w:r w:rsidRPr="00AA61C8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оценок промысловой смертности)</w:t>
            </w:r>
          </w:p>
        </w:tc>
      </w:tr>
      <w:tr w:rsidR="00D85128" w:rsidRPr="00AA61C8" w:rsidTr="000B6BE0">
        <w:trPr>
          <w:trHeight w:hRule="exact" w:val="388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60,5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37,2–96,0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0,02–0,36</w:t>
            </w:r>
          </w:p>
        </w:tc>
      </w:tr>
      <w:tr w:rsidR="00D85128" w:rsidRPr="00AA61C8" w:rsidTr="000B6BE0">
        <w:trPr>
          <w:trHeight w:hRule="exact" w:val="338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64,7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41,2–92,1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0,13–0,77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43,6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24,7–70,9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0,05–0,50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46,9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32,5–66,2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0,15–0,59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29,5–65,0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0,29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0,16–0,67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43,1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25,3–64,1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0,18–0,77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38,7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20,0–61,1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0,08–0,68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2019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41,5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20,7–65,6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0,03–0,32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27,2–75,4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0,13–0,65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47,2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22,8–72,8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0,08–0,61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22,9–75,1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0,18–0,96</w:t>
            </w:r>
          </w:p>
        </w:tc>
      </w:tr>
      <w:tr w:rsidR="00D85128" w:rsidRPr="00AA61C8" w:rsidTr="000B6BE0">
        <w:trPr>
          <w:trHeight w:hRule="exact" w:val="317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37,3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11,1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67,1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0,10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5128" w:rsidRPr="00AA61C8" w:rsidRDefault="00D85128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0,03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0,78</w:t>
            </w:r>
          </w:p>
        </w:tc>
      </w:tr>
    </w:tbl>
    <w:p w:rsidR="00D85128" w:rsidRPr="00AA61C8" w:rsidRDefault="00D85128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Таблица 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19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Результаты оценки параметров продукционного уравнения Фокса в ППП «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  <w:r w:rsidRPr="00AA61C8">
        <w:rPr>
          <w:rFonts w:ascii="Times New Roman" w:eastAsia="SimSun" w:hAnsi="Times New Roman" w:cs="Times New Roman"/>
          <w:sz w:val="28"/>
          <w:szCs w:val="28"/>
        </w:rPr>
        <w:t>».</w:t>
      </w:r>
    </w:p>
    <w:p w:rsidR="004552B6" w:rsidRPr="00AA61C8" w:rsidRDefault="004552B6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9888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803"/>
        <w:gridCol w:w="3739"/>
        <w:gridCol w:w="4346"/>
      </w:tblGrid>
      <w:tr w:rsidR="004552B6" w:rsidRPr="00AA61C8" w:rsidTr="004552B6">
        <w:trPr>
          <w:trHeight w:hRule="exact" w:val="391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Параметр</w:t>
            </w:r>
            <w:proofErr w:type="spellEnd"/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Значение</w:t>
            </w:r>
            <w:proofErr w:type="spellEnd"/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Доверительный</w:t>
            </w:r>
            <w:proofErr w:type="spellEnd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интервал</w:t>
            </w:r>
            <w:proofErr w:type="spellEnd"/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, p = 0,95</w:t>
            </w:r>
          </w:p>
        </w:tc>
      </w:tr>
      <w:tr w:rsidR="004552B6" w:rsidRPr="00AA61C8" w:rsidTr="004552B6">
        <w:trPr>
          <w:trHeight w:hRule="exact" w:val="391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K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92,3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84,7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100,5</w:t>
            </w:r>
          </w:p>
        </w:tc>
      </w:tr>
      <w:tr w:rsidR="004552B6" w:rsidRPr="00AA61C8" w:rsidTr="004552B6">
        <w:trPr>
          <w:trHeight w:hRule="exact" w:val="391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r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0,37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0,24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0,57</w:t>
            </w:r>
          </w:p>
        </w:tc>
      </w:tr>
      <w:tr w:rsidR="004552B6" w:rsidRPr="00AA61C8" w:rsidTr="004552B6">
        <w:trPr>
          <w:trHeight w:hRule="exact" w:val="391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psi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0,67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0,42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1,05</w:t>
            </w:r>
          </w:p>
        </w:tc>
      </w:tr>
      <w:tr w:rsidR="004552B6" w:rsidRPr="00AA61C8" w:rsidTr="004552B6">
        <w:trPr>
          <w:trHeight w:hRule="exact" w:val="391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sigma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0,05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52B6" w:rsidRPr="00AA61C8" w:rsidRDefault="004552B6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0,034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Pr="00AA61C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/>
              </w:rPr>
              <w:t>0,099</w:t>
            </w:r>
          </w:p>
        </w:tc>
      </w:tr>
    </w:tbl>
    <w:p w:rsidR="004552B6" w:rsidRPr="00AA61C8" w:rsidRDefault="004552B6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Определение биологических ориентиров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определения биологических ориентиров использовались результаты моделирования продукционной кривой и концепция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Были рассчитаны следующие биологические ориентиры: 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уровень максимально устойчивого вылова,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биомасса, соответствующая максимальному устойчивому вылову,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-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H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>) – уровень промысловой смертности, соответствующий максимально устойчивому вылову на продукционной кривой устойчивого вылова и границы их 95 % доверительные интервалы (таблица 2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0</w:t>
      </w:r>
      <w:r w:rsidRPr="00AA61C8">
        <w:rPr>
          <w:rFonts w:ascii="Times New Roman" w:eastAsia="SimSun" w:hAnsi="Times New Roman" w:cs="Times New Roman"/>
          <w:sz w:val="28"/>
          <w:szCs w:val="28"/>
        </w:rPr>
        <w:t>).</w:t>
      </w:r>
    </w:p>
    <w:p w:rsidR="004552B6" w:rsidRPr="00AA61C8" w:rsidRDefault="004552B6" w:rsidP="00D85128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 2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0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Биологические ориентиры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для раков в бассейне р. Сал на основе оценок модели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JABBA</w:t>
      </w:r>
    </w:p>
    <w:tbl>
      <w:tblPr>
        <w:tblW w:w="952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3208"/>
        <w:gridCol w:w="4536"/>
      </w:tblGrid>
      <w:tr w:rsidR="004552B6" w:rsidRPr="00AA61C8" w:rsidTr="004552B6">
        <w:trPr>
          <w:trHeight w:val="164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Параметр</w:t>
            </w:r>
            <w:proofErr w:type="spellEnd"/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D85128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Доверительный интервал, 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p = 0,95</w:t>
            </w:r>
          </w:p>
        </w:tc>
      </w:tr>
      <w:tr w:rsidR="004552B6" w:rsidRPr="00AA61C8" w:rsidTr="004552B6">
        <w:trPr>
          <w:trHeight w:val="195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D85128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MSY,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 т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12,6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8,0–19,5</w:t>
            </w:r>
          </w:p>
        </w:tc>
      </w:tr>
      <w:tr w:rsidR="004552B6" w:rsidRPr="00AA61C8" w:rsidTr="004552B6">
        <w:trPr>
          <w:trHeight w:val="160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D85128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B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  <w:lang w:val="en-US"/>
              </w:rPr>
              <w:t>MSY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, т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34,0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31,2–37,0</w:t>
            </w:r>
          </w:p>
        </w:tc>
      </w:tr>
      <w:tr w:rsidR="004552B6" w:rsidRPr="00AA61C8" w:rsidTr="004552B6">
        <w:trPr>
          <w:trHeight w:val="164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B6" w:rsidRPr="00AA61C8" w:rsidRDefault="004552B6" w:rsidP="00D85128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F</w:t>
            </w:r>
            <w:r w:rsidRPr="00AA61C8">
              <w:rPr>
                <w:rFonts w:ascii="Times New Roman" w:eastAsia="SimSun" w:hAnsi="Times New Roman" w:cs="Times New Roman"/>
                <w:sz w:val="28"/>
                <w:szCs w:val="28"/>
                <w:vertAlign w:val="subscript"/>
                <w:lang w:val="en-US"/>
              </w:rPr>
              <w:t>MSY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0,37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52B6" w:rsidRPr="00AA61C8" w:rsidRDefault="004552B6" w:rsidP="00D8512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0,24–0,57</w:t>
            </w:r>
          </w:p>
        </w:tc>
      </w:tr>
    </w:tbl>
    <w:p w:rsidR="004552B6" w:rsidRPr="00AA61C8" w:rsidRDefault="004552B6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соответствии с выполненными оценками ориентиров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максимально продуктивное состояние популяции может быть достигнуто при биомассе промыслового запаса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tr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34,0 т. В таком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случае максимально устойчивый вылов должен составить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12,6 т (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34,0 * 0,37 = 12,6). В соответствии с концепцией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граничный ориентир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17,0 т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0,5 *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34,0 * 0,5 = 17,0).</w:t>
      </w:r>
    </w:p>
    <w:p w:rsidR="006C434D" w:rsidRPr="00AA61C8" w:rsidRDefault="006C434D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4552B6" w:rsidRPr="00AA61C8" w:rsidRDefault="004552B6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Обоснование правила регулирования промысла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основании полученных оценок биомассы запаса и биологических ориентиров были построены графики, позволяющие наглядно интерпретировать полученные результаты и выбрать оптимальное правило регулирования промысла (ПРП) с учетом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(рисунок 1</w:t>
      </w:r>
      <w:r w:rsidR="00700530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>).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3"/>
        <w:gridCol w:w="4448"/>
      </w:tblGrid>
      <w:tr w:rsidR="004552B6" w:rsidRPr="00AA61C8" w:rsidTr="004552B6">
        <w:tc>
          <w:tcPr>
            <w:tcW w:w="4927" w:type="dxa"/>
            <w:tcBorders>
              <w:tl2br w:val="nil"/>
              <w:tr2bl w:val="nil"/>
            </w:tcBorders>
          </w:tcPr>
          <w:p w:rsidR="004552B6" w:rsidRPr="00AA61C8" w:rsidRDefault="004552B6" w:rsidP="00D8512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121ECE63" wp14:editId="42E06FA0">
                  <wp:extent cx="3181350" cy="2667000"/>
                  <wp:effectExtent l="0" t="0" r="0" b="0"/>
                  <wp:docPr id="29" name="Рисунок 29" descr="Z:\Отдел промысловой ихтиологии\Рабочая\Раки\Файлы (D)\2024\Материалы ОДУ на 2025 год\РАСЧЕТЫ ОДУ на 2025 (ЭКСПЕРТИЗА)\сал\plots\B_default_fox 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Z:\Отдел промысловой ихтиологии\Рабочая\Раки\Файлы (D)\2024\Материалы ОДУ на 2025 год\РАСЧЕТЫ ОДУ на 2025 (ЭКСПЕРТИЗА)\сал\plots\B_default_fox 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l2br w:val="nil"/>
              <w:tr2bl w:val="nil"/>
            </w:tcBorders>
          </w:tcPr>
          <w:p w:rsidR="004552B6" w:rsidRPr="00AA61C8" w:rsidRDefault="004552B6" w:rsidP="00D8512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372727CA" wp14:editId="742E41FA">
                  <wp:extent cx="2733675" cy="2628900"/>
                  <wp:effectExtent l="0" t="0" r="9525" b="0"/>
                  <wp:docPr id="30" name="Рисунок 30" descr="Z:\Отдел промысловой ихтиологии\Рабочая\Раки\Файлы (D)\2024\Материалы ОДУ на 2025 год\РАСЧЕТЫ ОДУ на 2025 (ЭКСПЕРТИЗА)\сал\plots\F_default_fox 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Z:\Отдел промысловой ихтиологии\Рабочая\Раки\Файлы (D)\2024\Материалы ОДУ на 2025 год\РАСЧЕТЫ ОДУ на 2025 (ЭКСПЕРТИЗА)\сал\plots\F_default_fox 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2B6" w:rsidRPr="00AA61C8" w:rsidRDefault="004552B6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1</w:t>
      </w:r>
      <w:r w:rsidR="00700530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Биомасса запаса (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 и целевой ориентир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промысловая смертность и целевой ориентир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для раков в 2012–2023 гг.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соответствии с полученными результатами на рисунке 1</w:t>
      </w:r>
      <w:r w:rsidR="00700530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в период 2012–2018 гг. отмечается постепенное снижение биомассы запаса раков, тем не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менее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запас находился выше целевого уровня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2012-2018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>&gt; 1). В этот же период отмечены колебания уровня промысловой смертности, который незначительно превысил уровень целевого ориентира эксплуатации в 2013 г.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2013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&gt; 1). Полученные результаты моделирования свидетельствуют о незначительном сокращении биомассы запаса в этот период не по причинам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ведения официального промысла, что хорошо согласуется с ранее опубликованными работами [Глушко, 2019].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период 2017–2018 гг. в результате административных ограничений ведения промысла статистические данные отсутствовали, тем не менее, промысел – осуществлялся. Формальный запрет ведения промысла в эти годы незначительно, однако положительно сказался на состоянии запаса. Постепенная стабилизация состояния биомассы запаса отмечена в последующие годы 2020–2022 гг., была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обусловлена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том числе сокращением объемов добычи раков в 2019 г.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 настоящее время, в 2023 г., биомасса запаса находится на уровне близком к значению целевого ориентира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1,1), а промысловая смертность находится на уровне ниже уровня максимально устойчивого вылова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0,27). На основании полученных результатов текущее состояние популяции можно резюмировать как: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Состояние промысла: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недоэксплуатация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ниже уровня максимально устойчивого вылова, тенденция на уменьшение;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Состояние запаса: на рациональном уровне, с тенденцией к снижению. </w:t>
      </w:r>
    </w:p>
    <w:p w:rsidR="004552B6" w:rsidRPr="00AA61C8" w:rsidRDefault="004552B6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Для аргументации применения выбранных правил регулирования промысла следует отметить негативное воздействие ННН-промысла на популяцию раков в р. Сал. Как уже рассматривалось ранее, в период 2017–2018 гг., официально, промысел раков – не осуществлялся. Однако это привело лишь к незначительному увеличению промыслового запаса в 2020–2022 гг., что косвенно свидетельствует о наличии ННН-промысла. </w:t>
      </w:r>
    </w:p>
    <w:p w:rsidR="004552B6" w:rsidRPr="00AA61C8" w:rsidRDefault="004552B6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Комбинированные результатах на схеме 4-зонального состояния биомассы запаса и промысла представлены на рисунке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2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4-х зональная схема состояния запаса и промысла наглядно демонстрирует ранее рассмотренное изменение системы «запас-промысел»: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переэксплуатация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популяции официальным промыслом в 2013 г. и 2022 г. и благоприятное состояние запаса относительно целевого уровня за весь период исследования. </w:t>
      </w:r>
      <w:proofErr w:type="gramEnd"/>
    </w:p>
    <w:p w:rsidR="004552B6" w:rsidRPr="00AA61C8" w:rsidRDefault="004552B6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552B6" w:rsidRPr="00AA61C8" w:rsidRDefault="004552B6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60C9B" wp14:editId="563E68A7">
            <wp:extent cx="3124200" cy="2620645"/>
            <wp:effectExtent l="0" t="0" r="0" b="8255"/>
            <wp:docPr id="32" name="Рисунок 32" descr="Z:\Отдел промысловой ихтиологии\Рабочая\Раки\Файлы (D)\2024\Материалы ОДУ на 2025 год\РАСЧЕТЫ ОДУ на 2025 (ЭКСПЕРТИЗА)\сал\plots\Kobe_default_fox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Z:\Отдел промысловой ихтиологии\Рабочая\Раки\Файлы (D)\2024\Материалы ОДУ на 2025 год\РАСЧЕТЫ ОДУ на 2025 (ЭКСПЕРТИЗА)\сал\plots\Kobe_default_fox default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292" cy="26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B6" w:rsidRPr="00AA61C8" w:rsidRDefault="004552B6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 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2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Траектории оценок состояния запасов и промысла раков в бассейне р. Сал, включая водоемы поймы (4-х 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зональное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ПРП)</w:t>
      </w:r>
    </w:p>
    <w:p w:rsidR="004552B6" w:rsidRPr="00AA61C8" w:rsidRDefault="004552B6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</w:p>
    <w:bookmarkEnd w:id="20"/>
    <w:p w:rsidR="00CD6370" w:rsidRPr="00AA61C8" w:rsidRDefault="00CD6370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Прогнозирование состояния запаса</w:t>
      </w:r>
    </w:p>
    <w:p w:rsidR="00CD6370" w:rsidRPr="00AA61C8" w:rsidRDefault="00CD6370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соответствии с текущим состоянием запаса и промысла, рассмотренном в разделе «определение правил регулирования промысла», методическими рекомендациями к имплементации концепции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[Бабаян и др., 2018] был выполнен краткосрочный прогноз на 2025–2026 гг. с рассмотрением следующих сценариев: </w:t>
      </w:r>
    </w:p>
    <w:p w:rsidR="00CD6370" w:rsidRPr="00AA61C8" w:rsidRDefault="00CD6370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: сценарий максимально устойчивого вылова на уровне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>;</w:t>
      </w:r>
    </w:p>
    <w:p w:rsidR="00CD6370" w:rsidRPr="00AA61C8" w:rsidRDefault="00CD6370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SQ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(статус-кво): сценарий изъятия на уровне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среднетрехлетней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промысловой смертности,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AVG</w:t>
      </w:r>
      <w:r w:rsidRPr="00AA61C8">
        <w:rPr>
          <w:rFonts w:ascii="Times New Roman" w:eastAsia="SimSun" w:hAnsi="Times New Roman" w:cs="Times New Roman"/>
          <w:sz w:val="28"/>
          <w:szCs w:val="28"/>
        </w:rPr>
        <w:t>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</w:rPr>
        <w:t>2021-2023</w:t>
      </w:r>
      <w:r w:rsidRPr="00AA61C8">
        <w:rPr>
          <w:rFonts w:ascii="Times New Roman" w:eastAsia="SimSun" w:hAnsi="Times New Roman" w:cs="Times New Roman"/>
          <w:sz w:val="28"/>
          <w:szCs w:val="28"/>
        </w:rPr>
        <w:t>);</w:t>
      </w:r>
    </w:p>
    <w:p w:rsidR="00CD6370" w:rsidRPr="00AA61C8" w:rsidRDefault="00CD6370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 Гипотетически вероятные сценарии эксплуатации на уровне выше и ниже на 15 % от целевого уровня,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+ 15 % и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15 % соответственно, (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0,85;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=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terminal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* 1,15).</w:t>
      </w:r>
    </w:p>
    <w:p w:rsidR="00CD6370" w:rsidRPr="00AA61C8" w:rsidRDefault="00CD6370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Текстовые результаты моделирования краткосрочных прогнозных сценариев представлены в таблице 2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>, графические – на рисунке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</w:t>
      </w:r>
    </w:p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 2</w:t>
      </w:r>
      <w:r w:rsidR="00D85128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Сценарии краткосрочного прогноза ОДУ и запаса раков в бассейне р. Сал при различных параметрах управления промыслом на 2024–2026 гг.</w:t>
      </w:r>
    </w:p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31"/>
        <w:gridCol w:w="1179"/>
        <w:gridCol w:w="1276"/>
        <w:gridCol w:w="992"/>
        <w:gridCol w:w="1134"/>
        <w:gridCol w:w="992"/>
        <w:gridCol w:w="1134"/>
        <w:gridCol w:w="1134"/>
      </w:tblGrid>
      <w:tr w:rsidR="00CD6370" w:rsidRPr="00AA61C8" w:rsidTr="00D85128">
        <w:trPr>
          <w:trHeight w:hRule="exact" w:val="951"/>
        </w:trPr>
        <w:tc>
          <w:tcPr>
            <w:tcW w:w="85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ind w:left="-244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Год</w:t>
            </w:r>
            <w:proofErr w:type="spellEnd"/>
          </w:p>
        </w:tc>
        <w:tc>
          <w:tcPr>
            <w:tcW w:w="2410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SQ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 w:rsidR="00D85128"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         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(F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=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0,24)</w:t>
            </w:r>
          </w:p>
        </w:tc>
        <w:tc>
          <w:tcPr>
            <w:tcW w:w="2268" w:type="dxa"/>
            <w:gridSpan w:val="2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MSY </w:t>
            </w:r>
            <w:r w:rsidR="00D85128"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          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(F = 0,37)</w:t>
            </w:r>
          </w:p>
        </w:tc>
        <w:tc>
          <w:tcPr>
            <w:tcW w:w="2126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+15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 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% MSY (F = 0,43)</w:t>
            </w:r>
          </w:p>
        </w:tc>
        <w:tc>
          <w:tcPr>
            <w:tcW w:w="2268" w:type="dxa"/>
            <w:gridSpan w:val="2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Сценарий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 w:rsidRPr="00AA61C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– 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15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 </w:t>
            </w: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% MSY (F = 0,32)</w:t>
            </w:r>
          </w:p>
        </w:tc>
      </w:tr>
      <w:tr w:rsidR="00CD6370" w:rsidRPr="00AA61C8" w:rsidTr="00D85128">
        <w:trPr>
          <w:trHeight w:hRule="exact" w:val="390"/>
        </w:trPr>
        <w:tc>
          <w:tcPr>
            <w:tcW w:w="851" w:type="dxa"/>
            <w:vMerge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, т</w:t>
            </w:r>
          </w:p>
        </w:tc>
        <w:tc>
          <w:tcPr>
            <w:tcW w:w="1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ОДУ, т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, т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ОДУ, т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, т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ОДУ, т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Запас</w:t>
            </w:r>
            <w:proofErr w:type="spellEnd"/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, т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ОДУ, т</w:t>
            </w:r>
          </w:p>
        </w:tc>
      </w:tr>
      <w:tr w:rsidR="00CD6370" w:rsidRPr="00AA61C8" w:rsidTr="00D85128">
        <w:trPr>
          <w:trHeight w:hRule="exact" w:val="321"/>
        </w:trPr>
        <w:tc>
          <w:tcPr>
            <w:tcW w:w="8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2024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1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14,1</w:t>
            </w:r>
          </w:p>
        </w:tc>
      </w:tr>
      <w:tr w:rsidR="00CD6370" w:rsidRPr="00AA61C8" w:rsidTr="00D85128">
        <w:trPr>
          <w:trHeight w:hRule="exact" w:val="321"/>
        </w:trPr>
        <w:tc>
          <w:tcPr>
            <w:tcW w:w="8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2025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1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39,9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39,9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13,4</w:t>
            </w:r>
          </w:p>
        </w:tc>
      </w:tr>
      <w:tr w:rsidR="00CD6370" w:rsidRPr="00AA61C8" w:rsidTr="00D85128">
        <w:trPr>
          <w:trHeight w:hRule="exact" w:val="321"/>
        </w:trPr>
        <w:tc>
          <w:tcPr>
            <w:tcW w:w="8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2026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46,4</w:t>
            </w:r>
          </w:p>
        </w:tc>
        <w:tc>
          <w:tcPr>
            <w:tcW w:w="1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41,0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D6E3BC"/>
            <w:noWrap/>
            <w:vAlign w:val="center"/>
          </w:tcPr>
          <w:p w:rsidR="00CD6370" w:rsidRPr="00AA61C8" w:rsidRDefault="00CD6370" w:rsidP="00D85128">
            <w:pPr>
              <w:spacing w:after="200" w:line="36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A61C8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12,9</w:t>
            </w:r>
          </w:p>
        </w:tc>
      </w:tr>
    </w:tbl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* </w:t>
      </w:r>
      <w:proofErr w:type="gramStart"/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>Сценарий, отмеченный зеленым фоном выбран</w:t>
      </w:r>
      <w:proofErr w:type="gramEnd"/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 как основной для реализации ПРП и концепции 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i/>
          <w:iCs/>
          <w:sz w:val="28"/>
          <w:szCs w:val="28"/>
        </w:rPr>
        <w:t>.</w:t>
      </w:r>
    </w:p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49"/>
      </w:tblGrid>
      <w:tr w:rsidR="00CD6370" w:rsidRPr="00AA61C8" w:rsidTr="000B6BE0">
        <w:tc>
          <w:tcPr>
            <w:tcW w:w="4927" w:type="dxa"/>
            <w:tcBorders>
              <w:tl2br w:val="nil"/>
              <w:tr2bl w:val="nil"/>
            </w:tcBorders>
          </w:tcPr>
          <w:p w:rsidR="00CD6370" w:rsidRPr="00AA61C8" w:rsidRDefault="00CD6370" w:rsidP="00D8512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  <w:tcBorders>
              <w:tl2br w:val="nil"/>
              <w:tr2bl w:val="nil"/>
            </w:tcBorders>
          </w:tcPr>
          <w:p w:rsidR="00CD6370" w:rsidRPr="00AA61C8" w:rsidRDefault="00CD6370" w:rsidP="00D85128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A61C8">
              <w:rPr>
                <w:noProof/>
                <w:sz w:val="28"/>
                <w:szCs w:val="28"/>
              </w:rPr>
              <w:drawing>
                <wp:inline distT="0" distB="0" distL="0" distR="0" wp14:anchorId="3341C069" wp14:editId="7C7F4BA4">
                  <wp:extent cx="5819775" cy="2314575"/>
                  <wp:effectExtent l="0" t="0" r="9525" b="9525"/>
                  <wp:docPr id="17" name="Рисунок 17" descr="Z:\Отдел промысловой ихтиологии\Рабочая\Раки\Файлы (D)\2024\Материалы ОДУ на 2025 год\РАСЧЕТЫ ОДУ на 2025 (ЭКСПЕРТИЗА)\сал\forecast\sal_forec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Z:\Отдел промысловой ихтиологии\Рабочая\Раки\Файлы (D)\2024\Материалы ОДУ на 2025 год\РАСЧЕТЫ ОДУ на 2025 (ЭКСПЕРТИЗА)\сал\forecast\sal_forec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99" b="34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Прогнозные сценарии состояния биомассы запаса (слева) и промысловой смертности (справа) относительно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целевых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ориентира (и граничного ориентира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B</w:t>
      </w:r>
      <w:r w:rsidRPr="00AA61C8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lim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красная пунктирная линия). Синяя кривая – ретроспективные оценки, бирюзовый цвет –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SQ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статус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кво</w:t>
      </w:r>
      <w:proofErr w:type="spellEnd"/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),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желтый цвет –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салатовый цвет кривой –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-15%, красный цвет кривой -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+15 %.</w:t>
      </w:r>
    </w:p>
    <w:p w:rsidR="00CD6370" w:rsidRPr="00AA61C8" w:rsidRDefault="00CD6370" w:rsidP="00D85128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Полученные результаты краткосрочного прогноза, рисунок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3</w:t>
      </w:r>
      <w:r w:rsidRPr="00AA61C8">
        <w:rPr>
          <w:rFonts w:ascii="Times New Roman" w:eastAsia="SimSun" w:hAnsi="Times New Roman" w:cs="Times New Roman"/>
          <w:sz w:val="28"/>
          <w:szCs w:val="28"/>
        </w:rPr>
        <w:t>, указывают на возможность реализации любого из представленных сценариев в период 2025–2026 гг. Каждый из рассматриваемых сценариев не будет приводить к снижению биомассы запаса ниже уровня граничного и целевого ориентира в период 2025–2026 гг. При этом, промысловая смертность при всех сценариях, что обусловлено выбором этих сценариев, не будет значительно превышать целевой уровень (за исключением сценария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+15 %).</w:t>
      </w:r>
      <w:proofErr w:type="gramEnd"/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Тем не менее, учитывая требования концепции предосторожного подхода и рекордный рост ННН-промысла в 2023 г., негативно влияющего на популяцию раков, изменение промысловой обстановки в 2023 г., обусловленное изменением климата (снижение уровня воды) наиболее рациональным является применение сценария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-15 %. При реализации такого сценария биомасса запаса в 2025 г. составит 42,4 т. 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Таким образом, при реализации сценария управления промысла на уровне 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- 15 %, биомасса промыслового запаса раков 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(виды родов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en-US"/>
        </w:rPr>
        <w:t>Astacus</w:t>
      </w:r>
      <w:proofErr w:type="spellEnd"/>
      <w:r w:rsidRPr="00AA61C8">
        <w:rPr>
          <w:rFonts w:ascii="Times New Roman" w:eastAsia="SimSun" w:hAnsi="Times New Roman" w:cs="Times New Roman"/>
          <w:b/>
          <w:i/>
          <w:sz w:val="28"/>
          <w:szCs w:val="28"/>
        </w:rPr>
        <w:t>,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en-US"/>
        </w:rPr>
        <w:t>Pontastacus</w:t>
      </w:r>
      <w:proofErr w:type="spellEnd"/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) 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>в бассейне р. Сал в 2025 г. составит 42,4 т.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Обоснование рекомендуемого объема ОДУ</w:t>
      </w:r>
    </w:p>
    <w:p w:rsidR="00CD6370" w:rsidRPr="00AA61C8" w:rsidRDefault="00CD6370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Рассмотренные краткосрочные сценарии управления запасом свидетельствуют о возможности установления ОДУ в 2025 г. на уровне от 11,0 т до 16,0 т. С учетом ранее рассмотренных обстоятельств, для управления запасом выбран сценарий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15 %, при котором ОДУ в 2025 г. может составить 13,4 т. Повышение устанавливаемого ОДУ на 31 % выше аналогичного показателя 2024 г. не будет приводить к снижению биомассы запаса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ниже уровня граничного и целевого ориентира в период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2025</w:t>
      </w:r>
      <w:bookmarkStart w:id="21" w:name="_Hlk160450579"/>
      <w:r w:rsidRPr="00AA61C8">
        <w:rPr>
          <w:rFonts w:ascii="Times New Roman" w:eastAsia="SimSun" w:hAnsi="Times New Roman" w:cs="Times New Roman"/>
          <w:sz w:val="28"/>
          <w:szCs w:val="28"/>
        </w:rPr>
        <w:t>–</w:t>
      </w:r>
      <w:bookmarkEnd w:id="21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2026 гг. и не будет превышать целевой уровень (за исключением сценария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MSY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+15 %) в результате наблюдаемого роста промыслового запаса в 2023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>2025 гг. в 2,4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раза.</w:t>
      </w:r>
    </w:p>
    <w:p w:rsidR="00CD6370" w:rsidRPr="00AA61C8" w:rsidRDefault="00CD6370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>Таким образом, в 2025</w:t>
      </w:r>
      <w:r w:rsidR="00827E5A"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г. ОДУ раков 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>(виды родов</w:t>
      </w:r>
      <w:r w:rsidRPr="00AA61C8">
        <w:rPr>
          <w:rFonts w:ascii="Times New Roman" w:eastAsia="SimSu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en-US"/>
        </w:rPr>
        <w:t>Astacus</w:t>
      </w:r>
      <w:proofErr w:type="spellEnd"/>
      <w:r w:rsidRPr="00AA61C8">
        <w:rPr>
          <w:rFonts w:ascii="Times New Roman" w:eastAsia="SimSun" w:hAnsi="Times New Roman" w:cs="Times New Roman"/>
          <w:b/>
          <w:i/>
          <w:sz w:val="28"/>
          <w:szCs w:val="28"/>
        </w:rPr>
        <w:t>,</w:t>
      </w:r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b/>
          <w:i/>
          <w:sz w:val="28"/>
          <w:szCs w:val="28"/>
          <w:lang w:val="en-US"/>
        </w:rPr>
        <w:t>Pontastacus</w:t>
      </w:r>
      <w:proofErr w:type="spellEnd"/>
      <w:r w:rsidRPr="00AA61C8">
        <w:rPr>
          <w:rFonts w:ascii="Times New Roman" w:eastAsia="SimSun" w:hAnsi="Times New Roman" w:cs="Times New Roman"/>
          <w:b/>
          <w:sz w:val="28"/>
          <w:szCs w:val="28"/>
        </w:rPr>
        <w:t xml:space="preserve">) </w:t>
      </w:r>
      <w:r w:rsidRPr="00AA61C8">
        <w:rPr>
          <w:rFonts w:ascii="Times New Roman" w:eastAsia="SimSun" w:hAnsi="Times New Roman" w:cs="Times New Roman"/>
          <w:b/>
          <w:bCs/>
          <w:sz w:val="28"/>
          <w:szCs w:val="28"/>
        </w:rPr>
        <w:t>в бассейне р. Сал составит 13,4 т.</w:t>
      </w:r>
    </w:p>
    <w:p w:rsidR="00CD6370" w:rsidRPr="00AA61C8" w:rsidRDefault="00CD6370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Анализ и диагностика полученных результатов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генеральном представлении при моделировании достигнуто схождение по всем рассматриваем параметрам продукционной модели согласно тесту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Geweke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что позволяет рассматривать текущие результаты как приемлемые. </w:t>
      </w:r>
    </w:p>
    <w:p w:rsidR="00CD6370" w:rsidRPr="00AA61C8" w:rsidRDefault="00CD6370" w:rsidP="00D85128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Диагностика репрезентативности выполненных оценок, рисунок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Pr="00AA61C8">
        <w:rPr>
          <w:rFonts w:ascii="Times New Roman" w:eastAsia="SimSun" w:hAnsi="Times New Roman" w:cs="Times New Roman"/>
          <w:sz w:val="28"/>
          <w:szCs w:val="28"/>
        </w:rPr>
        <w:t>, таблица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8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свидетельствует о достаточно широких доверительных интервалах вероятностных оценок биомассы запаса и промысловой смертности в ретроспективном периоде моделирования.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Истинные показатели биомассы запаса, в среднем, могут отклоняться от медианных оценок на 75 %, а для промысловой смертности - на 154 %. Максимальное отклонение доверительных интервалов от медианных оценок для биомассы запаса отмечено в 2023 г. и может составить до 70 %, для оценок промысловой смертности максимальное отклонение отмечено в 2023 г и может привносить неточность в результаты до 375 %. Это связано со снижением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вылова в 2023 г. в 10 раз относительно 2022 г., т.е. нарушено «равновесное» состояние системы запас-промысел.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Диагностика стабильности оценок модели и ее прогностической силы выполнена при помощи ретроспективного теста и параметрического теста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Мона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рисунок 1</w:t>
      </w:r>
      <w:r w:rsidR="00827E5A" w:rsidRPr="00AA61C8">
        <w:rPr>
          <w:rFonts w:ascii="Times New Roman" w:eastAsia="SimSun" w:hAnsi="Times New Roman" w:cs="Times New Roman"/>
          <w:sz w:val="28"/>
          <w:szCs w:val="28"/>
        </w:rPr>
        <w:t>4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Mohn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1999]. 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Результаты ретроспективного теста указывают на удовлетворительную надежность оценок и прогностическую силу величин биомассы запаса (не отклоняется от рекомендованного интервала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[-0,22; +0,3]) и на низкую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надежность прогноза величин промысловой смертности (отклоняется от рекомендованного интервала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[-0,22; +0,3]).</w:t>
      </w:r>
    </w:p>
    <w:p w:rsidR="00CD6370" w:rsidRPr="00AA61C8" w:rsidRDefault="00CD6370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5C811" wp14:editId="395906D3">
            <wp:extent cx="5305425" cy="6063343"/>
            <wp:effectExtent l="0" t="0" r="0" b="0"/>
            <wp:docPr id="18" name="Рисунок 18" descr="Z:\Отдел промысловой ихтиологии\Рабочая\Раки\Файлы (D)\2024\Материалы ОДУ на 2025 год\РАСЧЕТЫ ОДУ на 2025 (ЭКСПЕРТИЗА)\сал\retro\Retro_fox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Z:\Отдел промысловой ихтиологии\Рабочая\Раки\Файлы (D)\2024\Материалы ОДУ на 2025 год\РАСЧЕТЫ ОДУ на 2025 (ЭКСПЕРТИЗА)\сал\retro\Retro_fox defaul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343" cy="60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70" w:rsidRPr="00AA61C8" w:rsidRDefault="00CD6370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1</w:t>
      </w:r>
      <w:r w:rsidR="00724830" w:rsidRPr="00AA61C8">
        <w:rPr>
          <w:rFonts w:ascii="Times New Roman" w:eastAsia="SimSun" w:hAnsi="Times New Roman" w:cs="Times New Roman"/>
          <w:sz w:val="28"/>
          <w:szCs w:val="28"/>
        </w:rPr>
        <w:t>4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724830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Ретроспективный тест надежности модели с горизонтом 3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года. Слева - биомасса запаса, справа – промысловая смертность. Нижние 2 рисунка – ошибки процесса и построения продукционной кривой.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Диагностика невязок индекса улова-на-усилие от теоретических ожиданий модели представлена на рисунке 1</w:t>
      </w:r>
      <w:r w:rsidR="00724830" w:rsidRPr="00AA61C8">
        <w:rPr>
          <w:rFonts w:ascii="Times New Roman" w:eastAsia="SimSun" w:hAnsi="Times New Roman" w:cs="Times New Roman"/>
          <w:sz w:val="28"/>
          <w:szCs w:val="28"/>
        </w:rPr>
        <w:t>5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Диагностика невязок демонстрирует удовлетворительную надежность входного ряда показателей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улова-на-усилие в период за весь период тестирования. Рассматриваемый ряд невязок не имеет выраженного накопительного годового эффекта, стандарт распределения невязок не имеет значимых отклонений от нормального закона распределения случайных величин. </w:t>
      </w:r>
    </w:p>
    <w:p w:rsidR="00CD6370" w:rsidRPr="00AA61C8" w:rsidRDefault="00CD6370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78D8B" wp14:editId="4AADCC83">
            <wp:extent cx="6119495" cy="4171950"/>
            <wp:effectExtent l="0" t="0" r="0" b="0"/>
            <wp:docPr id="19" name="Рисунок 19" descr="Z:\Отдел промысловой ихтиологии\Рабочая\Раки\Файлы (D)\2024\Материалы ОДУ на 2025 год\РАСЧЕТЫ ОДУ на 2025 (ЭКСПЕРТИЗА)\сал\plots\ResRunsTests_default_fox 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Z:\Отдел промысловой ихтиологии\Рабочая\Раки\Файлы (D)\2024\Материалы ОДУ на 2025 год\РАСЧЕТЫ ОДУ на 2025 (ЭКСПЕРТИЗА)\сал\plots\ResRunsTests_default_fox default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624" cy="41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70" w:rsidRPr="00AA61C8" w:rsidRDefault="00CD6370" w:rsidP="00D85128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Рисунок 1</w:t>
      </w:r>
      <w:r w:rsidR="00724830" w:rsidRPr="00AA61C8">
        <w:rPr>
          <w:rFonts w:ascii="Times New Roman" w:eastAsia="SimSun" w:hAnsi="Times New Roman" w:cs="Times New Roman"/>
          <w:sz w:val="28"/>
          <w:szCs w:val="28"/>
        </w:rPr>
        <w:t>5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Диагностика невязок индекса улова-на-усилие относительно теоретических оптимальных величин продукционного моделирования. Область, отмеченная зеленым цветом – статистически не значимые отклонения. Точки, отмеченные красным цветом – статистически значимые отклонения, привносящие неопределенность в результаты моделирования.</w:t>
      </w: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CD6370" w:rsidRPr="00AA61C8" w:rsidRDefault="00CD6370" w:rsidP="00D8512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Сравнение диагностики полученных результатов свидетельствует об ухудшении надежности и точности прогноза относительно предшествующих реализаций прогноза. Это связано со снижением вылова в 2023 г. в 10 раз относительно 2022 г., увеличением объемов ННН-промысла на 294 % в 2023 г. по сравнению с 2022 г. Результаты выполненных диагностических тестов 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lastRenderedPageBreak/>
        <w:t>не свидетельствуют о наличии доказательств ненадежности результатов моделирования и прогноза. Диагностика результатов соответствует требованиям методических рекомендаций ВНИРО [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Бабаян,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Бобырев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., Булгакова и др., 2018]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и рекомендациям международного Совета по исследованию моря (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ICES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) [</w:t>
      </w:r>
      <w:proofErr w:type="spellStart"/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Carvalho</w:t>
      </w:r>
      <w:proofErr w:type="spellEnd"/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et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al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, 2021].</w:t>
      </w:r>
    </w:p>
    <w:p w:rsidR="006646F5" w:rsidRPr="00AA61C8" w:rsidRDefault="006646F5" w:rsidP="00D851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по обоснованию ОДУ раков в водных объектах Ростовской области (р. Дон, включая водоемы поймы и бассейн р. Сал) позволяет сделать делать выводы о том, что предлагаемые объемы ОДУ раков позволят осуществлять устойчивое неистощимое рыболовство данных видов водных биоресурсов в районе добычи (вылова).</w:t>
      </w:r>
    </w:p>
    <w:p w:rsidR="006646F5" w:rsidRPr="00AA61C8" w:rsidRDefault="006646F5" w:rsidP="00C9121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</w:t>
      </w:r>
      <w:proofErr w:type="gram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Оценка воздействия на окружающую среду (атмосферный воздух, поверхностные водные объекты, геологическую среду и подземные воды, почвы, растительный и животный мир, воздействие отходов производства и потребления на состояние окружающей среды, оценка физических факторов воздействия, описание возможных аварийных ситуаций и оценка воздействия на окружающую среду при аварийных ситуациях) планируемой (намечаемой) хозяйственной и иной деятельности по рассмотренным альтернативным вариантам ее реализации, в том</w:t>
      </w:r>
      <w:proofErr w:type="gramEnd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числе</w:t>
      </w:r>
      <w:proofErr w:type="gramEnd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оценка достоверности прогнозируемых последствий планируемой (намечаемой) хозяйственной и иной деятельности.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Намечаемая деятельность (обоснование ОДУ) непосредственное воздействие на объекты окружающей среды (атмосферный воздух, поверхностные водные объекты, геологическую среду и подземные воды, почвы, растительный и животный мир, за исключением единиц запаса водных биоресурсов) не оказывает. В свою очередь добыча (вылов) водных биоресурсов в рекомендованных объемах ОДУ, указанных в Материалах ОДУ не нанесет ущерба водным биоресурсам и окружающей среде.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При подготовке материалов, обосновывающих ОДУ альтернативные варианты, в том числе «нулевой вариант» (отказ от деятельности), не рассматривались. </w:t>
      </w:r>
      <w:r w:rsidRPr="00AA61C8">
        <w:rPr>
          <w:rFonts w:ascii="Times New Roman" w:eastAsia="SimSun" w:hAnsi="Times New Roman" w:cs="Times New Roman"/>
          <w:iCs/>
          <w:sz w:val="28"/>
          <w:szCs w:val="28"/>
        </w:rPr>
        <w:t>Возможные виды воздействия на окружающую среду деятельности (в том числе по альтернативным вариантам)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отсутствуют</w:t>
      </w:r>
      <w:r w:rsidRPr="00AA61C8">
        <w:rPr>
          <w:rFonts w:ascii="Times New Roman" w:eastAsia="SimSun" w:hAnsi="Times New Roman" w:cs="Times New Roman"/>
          <w:b/>
          <w:bCs/>
          <w:i/>
          <w:sz w:val="28"/>
          <w:szCs w:val="28"/>
        </w:rPr>
        <w:t>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Для всех рассматриваемых видов ВБР основной мерой регулирования промысла долгие годы является биологически обоснованная величина — общий допустимый улов. Предполагается, что вылов в пределах ОДУ не препятствует расширенному воспроизводству, способствует поддержанию продукционных свойств запаса на высоком уровне и таким образом не наносит вред популяциям.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Оценка текущего и перспективного состояния запасов ВБР, обоснование ОДУ выполняется в строгом соответствии с приказом Росрыболовства от 06.02.2015 г. № 104 на основе концепции «предосторожного» подхода.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Согласно рекомендациям Межинститутской рабочей группы по методологии оценки сырьевой базы отечественного рыболовства для практического применения, при подготовке материалов, обосновывающих ОДУ [Бабаян,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Бобырев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, Булгакова и др., 2018], для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III</w:t>
      </w:r>
      <w:r w:rsidRPr="00AA61C8">
        <w:rPr>
          <w:rFonts w:ascii="Times New Roman" w:eastAsia="SimSun" w:hAnsi="Times New Roman" w:cs="Times New Roman"/>
          <w:sz w:val="28"/>
          <w:szCs w:val="28"/>
        </w:rPr>
        <w:t> информационного уровня рекомендуется использовать индикаторные, трендовые и (или) любые другие индикаторные методы оценки запаса. Традиционный площадной метод прямого учета [Майский, 1939] формально соответствует требованиям методических рекомендаций и приказа № 104, однако он является мало репрезентативным и не подходит для должного обоснования мер регулирования.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Информационное обеспечение прогнозов запаса раков в р. Дон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 xml:space="preserve">, включая </w:t>
      </w:r>
      <w:r w:rsidRPr="00AA61C8">
        <w:rPr>
          <w:rFonts w:ascii="Times New Roman" w:eastAsia="SimSun" w:hAnsi="Times New Roman" w:cs="Times New Roman"/>
          <w:sz w:val="28"/>
          <w:szCs w:val="28"/>
        </w:rPr>
        <w:t>водоем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ы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поймы и бассейне р. Сал относится к II уровню информационной обеспеченности, предполагающий использование ограниченного аналитического оценивания посредством продукционных моделей. На 2025 г. в качестве основного метода были применены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динамические продукционные модели, реализованные в программных комплексах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Combi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 4.0 и JABBA [Бабаян и др., 2018;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Winker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et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al</w:t>
      </w:r>
      <w:r w:rsidRPr="00AA61C8">
        <w:rPr>
          <w:rFonts w:ascii="Times New Roman" w:eastAsia="SimSun" w:hAnsi="Times New Roman" w:cs="Times New Roman"/>
          <w:sz w:val="28"/>
          <w:szCs w:val="28"/>
        </w:rPr>
        <w:t>.,</w:t>
      </w:r>
      <w:r w:rsidRPr="00AA61C8">
        <w:rPr>
          <w:rFonts w:ascii="Times New Roman" w:eastAsia="SimSun" w:hAnsi="Times New Roman" w:cs="Times New Roman"/>
          <w:sz w:val="28"/>
          <w:szCs w:val="28"/>
          <w:lang w:val="en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2019].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Выбор программного комплекса JABBA выполнен в соответствии с наилучшими международными практиками [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Mourato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et.al., 2018;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Winker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et.al., 2019;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Sant’Ana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et.al., 2020], высокой степенью надежности и качества получаемых результатов. В отличие от большинства других программных пакетов, программный комплекс JABBA позволяет выполнять априорную параметризацию модели и производить расширенную диагностику полученных результатов. Окончательный выбор метода оценки запаса и ОДУ раков сделан в пользу моделирования на продукционных моделях с интерпретацией его результатов с учетом стандартных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астакологических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съемок.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Считаем, что при вылове ВБР в пределах рекомендованного ОДУ, неукоснительном соблюдении Правил рыболовства, промысел не будет оказывать негативное воздействие на их ресурсы и окружающую среду, в частности.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 Меры по предотвращению и (или) уменьшению возможного негативного воздействия планируемой (намечаемой) хозяйственной и иной деятельности на окружающую среду, в том числе по охране атмосферного воздуха, водных объектов,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 и почвенного покрова; </w:t>
      </w:r>
      <w:proofErr w:type="gram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обращению с отходами производства и потребления; по охране недр; по охране объектов растительного и животного мира и среды их обитания, включая объекты растительного и животного мира, занесенные в Красную книгу Российской Федерации и красные книги субъектов Российской Федерации; по минимизации возникновения возможных аварийных ситуаций и последствий их воздействия на окружающую среду.</w:t>
      </w:r>
      <w:proofErr w:type="gramEnd"/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В представленных на рассмотрение материалах приводятся научно-обоснованные величины ОДУ водных биологических ресурсов. 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Промышленный вылов раков в водоемах Ростовской области традиционно осуществляется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раколовками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 Правилам рыболовства для Азово-Черноморского рыбохозяйственного бассейна промышленный вылов раков в водоемах Ростовской области разрешен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раколовками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 размером (шагом) ячеи 16 мм и более, наличием не более 2 входов и размером 1 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не более: длина - 100</w:t>
      </w:r>
      <w:r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см, высота и ширина для многоугольных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80</w:t>
      </w:r>
      <w:r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см, диаметр для цилиндрических и конических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80</w:t>
      </w:r>
      <w:r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см,. Количество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на 1 т раков не должно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превышать величину, указанную в Правилах 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. 18.3, 36.3).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Использование других орудий лова для добычи (вылова) раков повсеместно запрещено. 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Выбор данного орудия лова обусловлен тем, что из всех существующих орудий лова раков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имеют облегченный каркас с небольшой площадью опоры и, следовательно, не оказывают значительного давления на грунт водоема и механического воздействия на донные биоценозы. Используемые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сетематериалы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изготовлены из химически нейтральных материалов, которые не могут оказать негативного воздействия на поверхностные воды и водные объекты.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Многолетний анализ хода промысла и состояния экосистемы не выявил негативного воздействия на окружающую среду промыслового водоема.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оценки воздействия промысла на окружающую среду (ОВОС)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Азово-Черноморским филиалом ФГБНУ «ВНИРО» («АзНИИРХ») проводится мониторинг состояния донных отложений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Нижнем Дону весной и летом (по </w:t>
      </w:r>
      <w:r w:rsidR="000C3D9C" w:rsidRPr="00AA61C8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станций).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Состав донных отложений указанных акваторий различен. В среднем, доля песка составляет около 35</w:t>
      </w:r>
      <w:r w:rsidR="000C3D9C" w:rsidRPr="00AA61C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%, песка с примесью ила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около 19</w:t>
      </w:r>
      <w:r w:rsidR="000C3D9C" w:rsidRPr="00AA61C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%, ила с примесью песка - около 30</w:t>
      </w:r>
      <w:r w:rsidR="000C3D9C" w:rsidRPr="00AA61C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% и ила - около 16</w:t>
      </w:r>
      <w:r w:rsidR="000C3D9C" w:rsidRPr="00AA61C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%. Степень сорбции ЗВ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зависит от гранулометрического состава и существенно различается. В отсутствие утвержденных нормативов ПДК для донных отложений рыбохозяйственных водоемов сравнение показателей проводится по отношению к среднемноголетним величинам (с учётом состава донных осадков).</w:t>
      </w:r>
    </w:p>
    <w:p w:rsidR="002B1B46" w:rsidRPr="00AA61C8" w:rsidRDefault="002B1B46" w:rsidP="002B1B4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bookmarkStart w:id="22" w:name="_Hlk158218333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2023 г. на </w:t>
      </w:r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Нижнем </w:t>
      </w:r>
      <w:proofErr w:type="gram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>Дону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на большинстве станций наблюдения содержание нефтепродуктов в донных отложениях было невысоким (&lt;0,02-1,02 г/кг), </w:t>
      </w:r>
      <w:bookmarkEnd w:id="22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повышенные концентрации были зафиксированы локально в весенний период в рук. Каланча (2,08 г/кг), высокие – в летний период в устье р.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Темерник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(до 25 г/кг сухой массы). </w:t>
      </w:r>
      <w:bookmarkStart w:id="23" w:name="_Hlk158218364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пробах с повышенным содержанием нефтепродуктов в их составе преобладали стойкие к процессам деградации смолистые вещества, являющиеся признаком хронического нефтяного загрязнения.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Стойких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ХОП и ПХБ найдены не были, удельная активность цезия-137 </w:t>
      </w:r>
      <w:r w:rsidR="00035BBD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минимальная. Загрязнение донных отложений тяжелыми металлами и мышьяком в целом соответствует среднемноголетним показателям.</w:t>
      </w:r>
    </w:p>
    <w:p w:rsidR="002B1B46" w:rsidRPr="00AA61C8" w:rsidRDefault="002B1B46" w:rsidP="002B1B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</w:t>
      </w:r>
      <w:r w:rsidRPr="00AA61C8">
        <w:rPr>
          <w:rFonts w:ascii="Times New Roman" w:eastAsia="SimSun" w:hAnsi="Times New Roman" w:cs="Times New Roman"/>
          <w:i/>
          <w:sz w:val="28"/>
          <w:szCs w:val="28"/>
          <w:lang w:eastAsia="ru-RU"/>
        </w:rPr>
        <w:t>р. Сал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2023 г. в донных отложениях 2-х станций наблюдения (локально) отмечалась повышенная концентрация нефтепродуктов. Ориентировочная условная предельная величина (1 г/кг) была превышена до 1,9 раза.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пробе с повышенным содержанием нефтепродуктов в их составе преобладали стойкие к процессам деградации смолистые вещества, являющиеся признаком хронического нефтяного загрязнения.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В донных осадках на большей части обследованной акватории содержание нефтепродуктов было низким и варьировало от 0,04 до 0,31</w:t>
      </w:r>
      <w:r w:rsidR="006C434D"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г/кг. В донных отложениях ряда станций наблюдения обнаружены с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тойкие ХОП – метаболиты препарата ДДТ – в остаточном количестве. ПХБ не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найдены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Удельная активность цезия-137 низкая. Загрязнение донных отложений тяжелыми металлами и мышьяком в целом соответствует среднемноголетним показателям.</w:t>
      </w:r>
    </w:p>
    <w:bookmarkEnd w:id="23"/>
    <w:p w:rsidR="006646F5" w:rsidRPr="00AA61C8" w:rsidRDefault="006646F5" w:rsidP="00C912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предотвращения негативного воздействия промысла раков на воспроизводство раков Правилами рыболовства установлен запрет промысла раков в преднерестовый и нерестовый периоды и вылов самок раков, вынашивающих икру и личинок (п. 35.1).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Разрешенный период лова раков в р. Дон, включая водоемы поймы и бассейне р. Сал с 15 июня по 31 декабря. Разрешенным орудиями лова во всех водных объектах рыбохозяйственного значения Ростовской области являются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оказывающие негативного воздействия на водную среду (поверхностные воды) водоемов (п. 35.2 б).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Изъятие раков из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раколовок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непосредственно на месте лова. Действующими Правилами запрещается при осуществлении добычи (вылова) раков производить добычу (вылов), приемку, выгрузку, обработку, транспортировку и хранение водных биоресурсов, имеющих в свежем виде длину меньше 9 см тела от линии, соединяющей середину глаз, до окончания хвостовых пластин (промысловый размер).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выставленные в водоем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заходить помимо промысловых раков особи непромыслового размера и молодь рыб. Для минимизации возможного негативного воздействия на водные биоресурсы в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19.3, 37.1, 37.2. действующих Правил раки непромысловых размеров и случайно попавшая в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рыба должны выпускаться в водоем в месте отлова с наименьшими повреждениями. Контроль соблюдения пользователями всех требований Правил осуществляется Федеральным агентством по рыболовству (его территориальными органами). При соблюдении пользователями требований Правил рыболовства и должном контроле промысла деятельность по добыче (вылову) раков во внутренних водоемах Ростовской области не окажет негативного воздействия на окружающую среду.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ч.1 ст. 18 Федерального закона от 20.12.2004 № 166-ФЗ «О рыболовстве и сохранении водных биологических ресурсов»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рыболовный участок представляет собой водный объект или его часть. Таким образом, согласно действующему федеральному законодательству, рыболовные участки (термин «РПУ» или «Рыбопромысловый участок» исключены из законодательства) не содержат части, которые попадают в границы прибрежных защитных полос (ПЗП) и водоохранных зон (ВОЗ) водных объектов.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водных объектах рыбохозяйственного значения Ростовской области рыболовные участки для промысла раков расположены на акватории водоемов. В границы действующих РПУ территория прибрежных защитных полос (ПЗП) и водоохранных зон (ВОЗ) водных объектов не входит. Однако для ПЗП и ВОЗ, расположенных вблизи РПУ, действуют все ограничения и мероприятия по их выполнению: проживание сотрудников в водоохранной зоне не должно быть предусмотрено, подъезд и стоянка автотранспорта в водоохранной зоне должна проводиться только по существующим твердым покрытиям, устройство сооружений и каких-либо покрытий не должно быть предусмотрено.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Ширина водоохранной зоны рек или ручьев устанавливается от их истока для рек или ручьев протяженностью:</w:t>
      </w:r>
    </w:p>
    <w:p w:rsidR="006646F5" w:rsidRPr="00AA61C8" w:rsidRDefault="006646F5" w:rsidP="00C912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до десяти километров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пятидесяти метров;</w:t>
      </w:r>
    </w:p>
    <w:p w:rsidR="006646F5" w:rsidRPr="00AA61C8" w:rsidRDefault="006646F5" w:rsidP="00C912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от десяти до пятидесяти километров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ста метров;</w:t>
      </w:r>
    </w:p>
    <w:p w:rsidR="006646F5" w:rsidRPr="00AA61C8" w:rsidRDefault="006646F5" w:rsidP="00C912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от пятидесяти километров и более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двухсот метров.</w:t>
      </w:r>
    </w:p>
    <w:p w:rsidR="006646F5" w:rsidRPr="00AA61C8" w:rsidRDefault="006646F5" w:rsidP="00C912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 (ст. 65 Водного Кодекса РФ).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к пассивным орудиям лова. Установка их осуществляется с гребных и моторных лодок в местах наибольшего скопления раков в водоемах. В штатном безаварийном режиме работы моторные лодки не должны загрязнять поверхностные воды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нефтепродуктами. Для предотвращения негативного воздействия заправка лодочных моторов в водоохранной зоне не должна проводиться. Заправка переносных бочков должна осуществляться на территории АЗС. При проведении промысла забор воды и сброс стоков запрещен. При соблюдении промысловиками требований комплекса природоохранных мер по экологическому состоянию водных объектов воздействие промысла не окажет негативного воздействия на водную среду (поверхностные воды) промысловых водоемов Ростовской области.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Список видов ихтиофауны, занесенных в Красную книгу Ростовской области, встречающиеся в р. Дон и водоемах поймы: украинская минога, стерлядь, севрюга, белуга, русский осетр, белоглазка, азово-черноморская шемая, волжский подуст,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бобырец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, елец Данилевского, обыкновенный елец,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белопёрый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пескарь, вырезуб, золотой карась, вьюн, бычок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каспиозома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Из членистоногих 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толстопалый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рак. В бассейне р. Сал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краснокнижные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виды не встречаются. В уловах при рыболовстве в научных целях и любительском рыболовстве представители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видов ихтиофауны, занесенных в Красные книги РФ и субъектов РФ не встречались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>. Проводится их учет в рамках проведения инструментальных съемок для мониторинга ВБР.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Ростовской области располагаются ООПТ федерального значения государственный природный биосферный заповедник «Ростовский», государственный природный заказник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Цимлянский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регионального значения природный парк «Донской», государственные природные заказники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Горненский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«Левобережный». Границы представлены на рисунке 1</w:t>
      </w:r>
      <w:r w:rsidR="00035BBD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6F5" w:rsidRPr="00AA61C8" w:rsidRDefault="006646F5" w:rsidP="00C912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114300" distR="114300" wp14:anchorId="088B8E37" wp14:editId="6CDB988A">
            <wp:extent cx="4999990" cy="2759710"/>
            <wp:effectExtent l="0" t="0" r="0" b="2540"/>
            <wp:docPr id="37" name="Picture 17" descr="Карт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7" descr="Картинка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7744" cy="27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35BBD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Карта-схема расположения ООПТ и промысловых районов на территории Ростовской области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(1,2 – природный парк регионального значения «Донской», государственные природные заказники: 3 – «Левобережный», 4 –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Горненский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», 5 – государственный природный заказник федерального значения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Цимлянский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», 6 –</w:t>
      </w:r>
      <w:r w:rsidR="000C3D9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природный биосферный заповедник федерального значения «Ростовский», промысловые районы: 7 – р. Дон, включая водоемы поймы, 8 – бассейн р. Сал)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природный биосферный заповедник федерального значения «Ростовский» расположен в юго-восточной части Ростовской области и состоит из 4 обособленных участков (Островной, Стариковский,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Краснопартизанский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Цаган-Хаг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находящихся в Орловском 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Ремонтненском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районах. Общая площадь заповедника составляет 9,532</w:t>
      </w:r>
      <w:r w:rsidR="000C3D9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га. Охранная зона заповедника площадью 74,350</w:t>
      </w:r>
      <w:r w:rsidR="000C3D9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га была создана постановлением Главы Администрации Ростовской области от 04.11.2000 № 417.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статус ООПТ: Действующий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 ООПТ: государственный природный заповедник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биосферный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Дата создания:27.12.1995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природный заказник федерального значения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Цимлянский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расположен в Цимлянском районе в урочище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Кучугуры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 прибрежной зоне Цимлянского водохранилища в 40 км к северо-востоку от г.</w:t>
      </w:r>
      <w:r w:rsidR="00035BBD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Волгодонска и в 14</w:t>
      </w:r>
      <w:r w:rsidR="000C3D9C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035BBD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км к востоку от станицы Новоцимлянской. Полуостров с трех сторон ограничен Цимлянским водохранилищем и с одной - границей с Волгоградской областью. Граница с севера и востока проходит от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Цимлы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границе между Ростовской и Волгоградской областями до Цимлянского водохранилища; с юга и запада </w:t>
      </w:r>
      <w:r w:rsidR="00035BBD"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границы между отмеченными областями по побережью водохранилища, включая километровую зону воды, до устья р.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Цимлы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площадь заповедника составляет 44,998</w:t>
      </w:r>
      <w:r w:rsidR="000C3D9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га. Был создан в 1983</w:t>
      </w:r>
      <w:r w:rsidR="000C3D9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 1996</w:t>
      </w:r>
      <w:r w:rsidR="000C3D9C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ему придан федеральный статус. Приказом Минприроды РФ от 08.07.2010 № 240 «Об утверждении Положения о государственном природном заказнике федерального значения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Цимлянский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утвержден режим особой охраны территории заказника.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статус ООПТ: Действующий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 ООПТ: государственный природный заказник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биологический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создания: 20.09.1983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Природный парк Донской регионального значения расположен на территориях Азовского, Цимлянского,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Неклиновского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 Ростовской области. Природный парк образован постановлением Администрации Ростовской области от 08.09.2005 № 120, статус природного памятника Донской подтвержден Постановлением правительства Ростовской области от 11.05.2016 № 337. Парк состоит из участков: «Дельта Дона» (площадь 27 047,75 гектаров на территориях Азовского,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Неклиновского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районов) и «Островной» (13 907,38 гектаров на территории Цимлянского району около города Волгодонска).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Текущий статус ООПТ: Действующий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 ООПТ: природный парк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комплексный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создания: 08.09.2005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природный заказник регионального значения «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Горненский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расположен в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Красносулинском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Ростовской области вблизи г. Шахты. Заказник состоит из 5 кластерных участков общей площадью 8,629 тыс. га.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статус ООПТ: Действующий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 ООПТ: государственный природный заказник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биологический, ботанический, зоологический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создания: 27.11.2014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природный заказник областного значения «Левобережный» расположен на территории Азовского района, городов Ростов-на-Дону и Батайск. Его территория состоит из 3 кластерных участков общей площадью 1,136</w:t>
      </w:r>
      <w:r w:rsidR="006A05C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га. Заказник образован в соответствии с постановлением Правительства Ростовской области от 31.12.2015 № 227. Заказник состоит из трех кластеров общей площадью 1,136 тыс. га. Заказник является особо охраняемой природной территорией регионального значения, имеет комплексный (ландшафтный) профиль и предназначен для сохранения и восстановления природных ландшафтов левобережной поймы реки Дон.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статус ООПТ: Действующий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 ООПТ: государственный природный заказник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ООПТ: Региональное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комплексный, ландшафтный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создания: 31.12.2015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ООПТ в границах водных объектов промысла и их водоохранных зонах отсутствуют. Рыболовные участки располагаются на удалении от ООПТ не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менее 50-60 км. Водоохранная зона составляет 200</w:t>
      </w:r>
      <w:r w:rsidR="006A05C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Все водоемы, где проводится промысел раков, относятся к высшей категории.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Планируемая деятельность фактически не связана с выбросами загрязняющих веществ в атмосферу, акустическим и вибрационным воздействием. При промысле не используются радиационные, ионизирующие и электромагнитные источники излучения. Намечаемая деятельность не связана с забором воды и сбросом производственных и бытовых жидких отходов (сточных вод) в природные водоемы.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</w:pP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Предложения по мероприятиям производственного экологического контроля и мониторинга окружающей среды.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Производственный экологический контроль и мониторинг окружающей среды изъятия водных биоресурсов (раки) в объемах ОДУ осуществляется каждым пользователем круглосуточно.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Программа мониторинга промысла включает анализ уловов раков промысловыми бригадами, включающий численность, биомассу раков в уловах, промысловое усилие, размерно-массовый состав облавливаемой части популяции раков в течение промыслового периода, анализ статистических данных Азово-Черноморского территориального управления Росрыболовства по вылову и процент освоения квот вылова.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Проведенные исследования показали, что ежегодный вылов раков, осуществляемый пользователями на рыбохозяйственных водоемах в прогнозируемых объемах, не оказывает негативного воздействия на воспроизводительную способность популяций раков и не подрывает их промысловые запасы. Негативное воздействие промысла на основные компоненты окружающей среды (земельно-почвенные, геологические, гидролого-гидрохимические и атмосферный воздух) отсутствуют. Поэтому комплекс специальных мероприятий по рациональному использованию и охране водных биоресурсов не требуется. Экологические ограничения при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осуществлении добычи раков связаны в основном с соблюдением Положений Водного кодекса РФ – Режима водоохранной зоны природных водоемов.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соблюдении пользователями требований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Водного кодекса РФ,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рыболовства и должном контроле промысла деятельность по добыче (вылову) раков во внутренних водоемах Ростовской области не окажет негативного воздействия на окружающую среду.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7. </w:t>
      </w:r>
      <w:proofErr w:type="gram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Выявленные при проведении оценки воздействия на окружающую среду неопределенности в определении воздействий планируемой (намечаемой) хозяйственной и иной деятельности на окружающую среду, подготовка (при необходимости) предложений по проведению исследований, последствий реализации планируемой (намечаемой) хозяйственной и иной деятельности, эффективности выбранных мер по предотвращению и (или) уменьшению воздействия, а также для проверки сделанных прогнозов (</w:t>
      </w:r>
      <w:proofErr w:type="spellStart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послепроектный</w:t>
      </w:r>
      <w:proofErr w:type="spellEnd"/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анализ).</w:t>
      </w:r>
      <w:proofErr w:type="gramEnd"/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проведении оценки воздействия на окружающую среду неопределенности в определении воздействий планируемой деятельности на окружающую среду не выявлены.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8. Обоснование выбора варианта реализации планируемой (намечаемой) хозяйственной и иной деятельности, исходя из рассмотренных альтернатив, а также результатов проведенных исследований.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Заказчиком выбран вариант реализации намечаемой деятельности, обоснование установление величины ОДУ в соответствии с научными рекомендациями, указанными в Материалах ОДУ в целях обеспечения прав пользователей водных биоресурсов и регулирования рыболовства.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Альтернативные варианты достижения цели намечаемой деятельности, не рассматривались. </w:t>
      </w:r>
    </w:p>
    <w:p w:rsidR="006646F5" w:rsidRPr="00AA61C8" w:rsidRDefault="006646F5" w:rsidP="00C912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9. </w:t>
      </w:r>
      <w:proofErr w:type="gramStart"/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Сведения о проведении общественных обсуждений, направленных на информирование граждан и юридических лиц о планируемой (намечаемой) хозяйственной и иной деятельности и ее возможном воздействии на </w:t>
      </w:r>
      <w:r w:rsidRPr="00AA61C8">
        <w:rPr>
          <w:rFonts w:ascii="Times New Roman" w:eastAsia="SimSun" w:hAnsi="Times New Roman" w:cs="Times New Roman"/>
          <w:i/>
          <w:sz w:val="28"/>
          <w:szCs w:val="28"/>
        </w:rPr>
        <w:lastRenderedPageBreak/>
        <w:t>окружающую среду, с целью обеспечения участия всех заинтересованных лиц (в том числе граждан, общественных организаций (объединений), представителей органов государственной власти, органов местного самоуправления), выявления общественных предпочтений и их учета в процессе проведения оценки воздействия на окружающую</w:t>
      </w:r>
      <w:proofErr w:type="gramEnd"/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среду.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9.1. Орган, ответственный за организацию общественных обсуждений – Администрация муниципального образования Семикаракорского района: </w:t>
      </w:r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346630, Ростовская область, г. Семикаракорск, пр. 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Арабского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18, </w:t>
      </w:r>
      <w:r w:rsidRPr="00AA61C8">
        <w:rPr>
          <w:rFonts w:ascii="Times New Roman" w:eastAsia="Calibri" w:hAnsi="Times New Roman" w:cs="Times New Roman"/>
          <w:sz w:val="28"/>
          <w:szCs w:val="28"/>
        </w:rPr>
        <w:t>тел. +7(86356) 4-18-45, e-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: ushsr@mail.ru. Контактное лицо: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Чеброва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Юлия Игоревна, тел. +7(86356) 4-17-57, e-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>: ushsr@mail.ru.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9.2. Техническое задание не предусмотрено.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9.3. Информирование общественности реализовано через публикации на официальных сайтах 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на муниципальном уровне – на официальных сайтах муниципальных образований Ростовской области: </w:t>
      </w:r>
    </w:p>
    <w:p w:rsidR="00AA61C8" w:rsidRPr="00AA61C8" w:rsidRDefault="00AA61C8" w:rsidP="00AA61C8">
      <w:pPr>
        <w:spacing w:after="0" w:line="360" w:lineRule="auto"/>
        <w:ind w:firstLine="709"/>
        <w:jc w:val="both"/>
        <w:rPr>
          <w:rStyle w:val="af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– 14.03.2024 г. на сайте Администрации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Семикаракорского района </w:t>
      </w:r>
      <w:hyperlink r:id="rId45" w:history="1">
        <w:r w:rsidRPr="00AA61C8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https://sem.donland.ru/presscenter/news/242700/</w:t>
        </w:r>
      </w:hyperlink>
    </w:p>
    <w:p w:rsidR="00E20CBF" w:rsidRPr="00AA61C8" w:rsidRDefault="006646F5" w:rsidP="00E20CBF">
      <w:pPr>
        <w:spacing w:after="0" w:line="360" w:lineRule="auto"/>
        <w:ind w:firstLine="709"/>
        <w:jc w:val="both"/>
        <w:rPr>
          <w:rStyle w:val="af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BD55F3" w:rsidRPr="00AA61C8">
        <w:rPr>
          <w:rFonts w:ascii="Times New Roman" w:eastAsia="SimSun" w:hAnsi="Times New Roman" w:cs="Times New Roman"/>
          <w:sz w:val="28"/>
          <w:szCs w:val="28"/>
        </w:rPr>
        <w:t xml:space="preserve">15.03.2024 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Аксайского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района </w:t>
      </w:r>
      <w:hyperlink r:id="rId46" w:history="1">
        <w:r w:rsidR="00E20CBF" w:rsidRPr="00AA61C8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https://aksayland.ru/city/information/39687/</w:t>
        </w:r>
      </w:hyperlink>
    </w:p>
    <w:p w:rsidR="00E20CBF" w:rsidRPr="00AA61C8" w:rsidRDefault="006646F5" w:rsidP="00E20CBF">
      <w:pPr>
        <w:spacing w:after="0" w:line="360" w:lineRule="auto"/>
        <w:ind w:firstLine="709"/>
        <w:jc w:val="both"/>
        <w:rPr>
          <w:rStyle w:val="af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="00B6712C" w:rsidRPr="00AA61C8">
        <w:rPr>
          <w:rFonts w:ascii="Times New Roman" w:eastAsia="SimSun" w:hAnsi="Times New Roman" w:cs="Times New Roman"/>
          <w:sz w:val="28"/>
          <w:szCs w:val="28"/>
        </w:rPr>
        <w:t xml:space="preserve"> 18.03.2024 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Цимлянского района </w:t>
      </w:r>
      <w:hyperlink r:id="rId47" w:history="1">
        <w:r w:rsidR="00E20CBF" w:rsidRPr="00AA61C8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https://cimlyanskiyrayon.ru/otdely-administratsii/otdel-selskogo-khozyajstva/ekologicheskaya-sluzhba/19345-uvedomlenie-o-provedenii-obshchestvennykh-obsuzhdenij</w:t>
        </w:r>
      </w:hyperlink>
    </w:p>
    <w:p w:rsidR="006646F5" w:rsidRPr="00AA61C8" w:rsidRDefault="006646F5" w:rsidP="00AA61C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–</w:t>
      </w:r>
      <w:r w:rsidR="00BB3CC6" w:rsidRPr="00AA61C8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5600F6" w:rsidRPr="00AA61C8">
        <w:rPr>
          <w:rFonts w:ascii="Times New Roman" w:eastAsia="Calibri" w:hAnsi="Times New Roman" w:cs="Times New Roman"/>
          <w:sz w:val="28"/>
          <w:szCs w:val="28"/>
        </w:rPr>
        <w:t>5</w:t>
      </w:r>
      <w:r w:rsidR="00BB3CC6" w:rsidRPr="00AA61C8">
        <w:rPr>
          <w:rFonts w:ascii="Times New Roman" w:eastAsia="Calibri" w:hAnsi="Times New Roman" w:cs="Times New Roman"/>
          <w:sz w:val="28"/>
          <w:szCs w:val="28"/>
        </w:rPr>
        <w:t xml:space="preserve">.03.2024 </w:t>
      </w:r>
      <w:r w:rsidR="00AA61C8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Мартыновского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района</w:t>
      </w:r>
      <w:r w:rsidR="00E20CBF"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hyperlink r:id="rId48" w:history="1">
        <w:r w:rsidR="00E20CBF" w:rsidRPr="00AA61C8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https://mart.donland.ru/presscenter/news/242930/</w:t>
        </w:r>
      </w:hyperlink>
    </w:p>
    <w:p w:rsidR="00E20CBF" w:rsidRPr="00AA61C8" w:rsidRDefault="006646F5" w:rsidP="00E20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–</w:t>
      </w:r>
      <w:r w:rsidR="00E20CBF" w:rsidRPr="00AA61C8">
        <w:rPr>
          <w:rFonts w:ascii="Times New Roman" w:eastAsia="Calibri" w:hAnsi="Times New Roman" w:cs="Times New Roman"/>
          <w:sz w:val="28"/>
          <w:szCs w:val="28"/>
        </w:rPr>
        <w:t xml:space="preserve"> 14.03.2024 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Зимовниковского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района </w:t>
      </w:r>
      <w:hyperlink r:id="rId49" w:history="1">
        <w:r w:rsidR="00E20CBF" w:rsidRPr="00AA61C8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https://zimovniki.donland.ru/presscenter/news/242865/</w:t>
        </w:r>
      </w:hyperlink>
    </w:p>
    <w:p w:rsidR="00E62DDB" w:rsidRPr="00AA61C8" w:rsidRDefault="006646F5" w:rsidP="00E62DD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lastRenderedPageBreak/>
        <w:t>–</w:t>
      </w:r>
      <w:r w:rsid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2DDB" w:rsidRPr="00AA61C8">
        <w:rPr>
          <w:rFonts w:ascii="Times New Roman" w:eastAsia="Calibri" w:hAnsi="Times New Roman" w:cs="Times New Roman"/>
          <w:sz w:val="28"/>
          <w:szCs w:val="28"/>
        </w:rPr>
        <w:t xml:space="preserve">15.03.2024 </w:t>
      </w:r>
      <w:r w:rsidR="00AA61C8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Константиновского района </w:t>
      </w:r>
      <w:hyperlink r:id="rId50" w:history="1">
        <w:r w:rsidR="00E62DDB" w:rsidRPr="00AA61C8">
          <w:rPr>
            <w:rFonts w:ascii="Times New Roman" w:eastAsia="Calibri" w:hAnsi="Times New Roman" w:cs="Times New Roman"/>
            <w:color w:val="0000FF"/>
            <w:sz w:val="28"/>
            <w:szCs w:val="28"/>
            <w:shd w:val="clear" w:color="auto" w:fill="FFFFFF"/>
          </w:rPr>
          <w:t>https://konstadmin.ru/sreda-novosti/11386-uvedomlenie-o-provedenii-obshestvennyh-obsuzhdenij.html</w:t>
        </w:r>
      </w:hyperlink>
    </w:p>
    <w:p w:rsidR="00E20CBF" w:rsidRPr="00AA61C8" w:rsidRDefault="00E20CBF" w:rsidP="00E20CBF">
      <w:pPr>
        <w:spacing w:after="0" w:line="360" w:lineRule="auto"/>
        <w:ind w:firstLine="709"/>
        <w:jc w:val="both"/>
      </w:pPr>
      <w:r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="005600F6" w:rsidRPr="00AA61C8">
        <w:rPr>
          <w:rFonts w:ascii="Times New Roman" w:eastAsia="SimSun" w:hAnsi="Times New Roman" w:cs="Times New Roman"/>
          <w:sz w:val="28"/>
          <w:szCs w:val="28"/>
        </w:rPr>
        <w:t xml:space="preserve"> 14.03.2024 г.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на сайте Багаевского района </w:t>
      </w:r>
      <w:hyperlink r:id="rId51" w:history="1">
        <w:r w:rsidRPr="00AA61C8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https://bagaev.donland.ru/presscenter/news/242942/</w:t>
        </w:r>
      </w:hyperlink>
    </w:p>
    <w:p w:rsidR="00E20CBF" w:rsidRPr="00AA61C8" w:rsidRDefault="000C06AF" w:rsidP="000C0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– 18.03.2024 г. на сайте Усть-Донецкого района </w:t>
      </w:r>
      <w:hyperlink r:id="rId52" w:history="1">
        <w:r w:rsidRPr="00AA61C8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https://ustland.ru/main/ob-yavleniya/item/16207-uvedomlenie-o-provedenii-obshchestvennykh-obsuzhdenij</w:t>
        </w:r>
      </w:hyperlink>
    </w:p>
    <w:p w:rsidR="00AA61C8" w:rsidRPr="00AA61C8" w:rsidRDefault="00F32719" w:rsidP="00AA61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hAnsi="Times New Roman" w:cs="Times New Roman"/>
          <w:sz w:val="28"/>
          <w:szCs w:val="28"/>
        </w:rPr>
        <w:t xml:space="preserve">– </w:t>
      </w:r>
      <w:r w:rsidR="00AA61C8" w:rsidRPr="00AA61C8">
        <w:rPr>
          <w:rFonts w:ascii="Times New Roman" w:hAnsi="Times New Roman" w:cs="Times New Roman"/>
          <w:sz w:val="28"/>
          <w:szCs w:val="28"/>
        </w:rPr>
        <w:t xml:space="preserve">14.03.2024 г. </w:t>
      </w:r>
      <w:r w:rsidRPr="00AA61C8">
        <w:rPr>
          <w:rFonts w:ascii="Times New Roman" w:hAnsi="Times New Roman" w:cs="Times New Roman"/>
          <w:sz w:val="28"/>
          <w:szCs w:val="28"/>
        </w:rPr>
        <w:t>на сайте Администрации Октябрьского района</w:t>
      </w:r>
      <w:r w:rsidR="00AA61C8" w:rsidRPr="00AA61C8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="00AA61C8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https://octobdonland.ru/info/topical/topical_911.html</w:t>
        </w:r>
      </w:hyperlink>
    </w:p>
    <w:p w:rsidR="00AA61C8" w:rsidRPr="00AA61C8" w:rsidRDefault="00DD556E" w:rsidP="00AA61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hAnsi="Times New Roman" w:cs="Times New Roman"/>
          <w:sz w:val="28"/>
          <w:szCs w:val="28"/>
        </w:rPr>
        <w:t xml:space="preserve">– </w:t>
      </w:r>
      <w:r w:rsidR="00AA61C8" w:rsidRPr="00AA61C8">
        <w:rPr>
          <w:rFonts w:ascii="Times New Roman" w:hAnsi="Times New Roman" w:cs="Times New Roman"/>
          <w:sz w:val="28"/>
          <w:szCs w:val="28"/>
        </w:rPr>
        <w:t xml:space="preserve">19.03.2024 г. </w:t>
      </w:r>
      <w:r w:rsidRPr="00AA61C8">
        <w:rPr>
          <w:rFonts w:ascii="Times New Roman" w:hAnsi="Times New Roman" w:cs="Times New Roman"/>
          <w:sz w:val="28"/>
          <w:szCs w:val="28"/>
        </w:rPr>
        <w:t xml:space="preserve">на сайте Администрации </w:t>
      </w:r>
      <w:proofErr w:type="spellStart"/>
      <w:r w:rsidRPr="00AA61C8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AA61C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A61C8" w:rsidRPr="00AA61C8">
        <w:rPr>
          <w:rFonts w:ascii="Times New Roman" w:hAnsi="Times New Roman" w:cs="Times New Roman"/>
          <w:sz w:val="28"/>
          <w:szCs w:val="28"/>
        </w:rPr>
        <w:t xml:space="preserve"> </w:t>
      </w:r>
      <w:hyperlink r:id="rId54" w:history="1">
        <w:r w:rsidR="00AA61C8" w:rsidRPr="00AA61C8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https://zavetnoe.donland.ru/presscenter/news/243695/</w:t>
        </w:r>
      </w:hyperlink>
    </w:p>
    <w:p w:rsidR="00AA61C8" w:rsidRPr="00AA61C8" w:rsidRDefault="001E2C9A" w:rsidP="00AA61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AA61C8" w:rsidRPr="00AA61C8">
        <w:rPr>
          <w:rFonts w:ascii="Times New Roman" w:eastAsia="Calibri" w:hAnsi="Times New Roman" w:cs="Times New Roman"/>
          <w:sz w:val="28"/>
          <w:szCs w:val="28"/>
        </w:rPr>
        <w:t xml:space="preserve">15.03.2024 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Дубовского района </w:t>
      </w:r>
      <w:hyperlink r:id="rId55" w:history="1">
        <w:r w:rsidR="00AA61C8" w:rsidRPr="00AA61C8">
          <w:rPr>
            <w:rStyle w:val="af4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https://dubovskoe.donland.ru/presscenter/news/243571/</w:t>
        </w:r>
      </w:hyperlink>
    </w:p>
    <w:p w:rsidR="00AA61C8" w:rsidRPr="00AA61C8" w:rsidRDefault="001E2C9A" w:rsidP="00AA61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AA61C8" w:rsidRPr="00AA61C8">
        <w:rPr>
          <w:rFonts w:ascii="Times New Roman" w:eastAsia="Calibri" w:hAnsi="Times New Roman" w:cs="Times New Roman"/>
          <w:sz w:val="28"/>
          <w:szCs w:val="28"/>
        </w:rPr>
        <w:t xml:space="preserve">18.03.2024 г. </w:t>
      </w:r>
      <w:r w:rsidRPr="00AA61C8">
        <w:rPr>
          <w:rFonts w:ascii="Times New Roman" w:eastAsia="SimSun" w:hAnsi="Times New Roman" w:cs="Times New Roman"/>
          <w:sz w:val="28"/>
          <w:szCs w:val="28"/>
        </w:rPr>
        <w:t>на сайте Администрации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Волгодонского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hyperlink r:id="rId56" w:history="1">
        <w:r w:rsidR="00AA61C8" w:rsidRPr="00AA61C8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https://volgodonr.donland.ru/presscenter/news/243568/</w:t>
        </w:r>
      </w:hyperlink>
    </w:p>
    <w:p w:rsidR="00AA61C8" w:rsidRPr="00AA61C8" w:rsidRDefault="001E2C9A" w:rsidP="00AA61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–</w:t>
      </w:r>
      <w:r w:rsidR="00AA61C8" w:rsidRPr="00AA61C8">
        <w:rPr>
          <w:rFonts w:ascii="Times New Roman" w:eastAsia="Calibri" w:hAnsi="Times New Roman" w:cs="Times New Roman"/>
          <w:sz w:val="28"/>
          <w:szCs w:val="28"/>
        </w:rPr>
        <w:t xml:space="preserve"> 19.03.2024 г.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на сайте Администрации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Ремонтненского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района </w:t>
      </w:r>
      <w:hyperlink r:id="rId57" w:history="1">
        <w:r w:rsidR="00AA61C8" w:rsidRPr="00AA61C8">
          <w:rPr>
            <w:rStyle w:val="af4"/>
            <w:rFonts w:ascii="Times New Roman" w:hAnsi="Times New Roman" w:cs="Times New Roman"/>
            <w:sz w:val="28"/>
            <w:szCs w:val="28"/>
          </w:rPr>
          <w:t>https://remadmin.donland.ru/presscenter/news/243660/</w:t>
        </w:r>
      </w:hyperlink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региональном уровне: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– 1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35BBD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на сайте Межрегионального управления Росприроднадзора по Ростовской области и Республике Калмыкия, Министерства природных ресурсов и экологии Ростовской области, учетный номер заявки МО-1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-03-202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1C25" w:rsidRPr="00AA61C8" w:rsidRDefault="006646F5" w:rsidP="00EB1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– 1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на сайте Министерства природных ресурсов и экологии Ростовской области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8" w:history="1"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https://xn--d1ahaoghbejbc5k.xn--p1ai/</w:t>
        </w:r>
        <w:proofErr w:type="spellStart"/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documents</w:t>
        </w:r>
        <w:proofErr w:type="spellEnd"/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active</w:t>
        </w:r>
        <w:proofErr w:type="spellEnd"/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/304703/</w:t>
        </w:r>
      </w:hyperlink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на федеральном уровне: </w:t>
      </w:r>
    </w:p>
    <w:p w:rsidR="00EB1C25" w:rsidRPr="00AA61C8" w:rsidRDefault="006646F5" w:rsidP="00EB1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1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на официальном сайте Федеральной службы по надзору в сфере природопользования, учетный номер заявки 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МО-15-03-2024-7, </w:t>
      </w:r>
      <w:hyperlink r:id="rId59" w:history="1"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https://rpn.gov.ru/</w:t>
        </w:r>
      </w:hyperlink>
    </w:p>
    <w:p w:rsidR="00EB1C25" w:rsidRPr="00AA61C8" w:rsidRDefault="006646F5" w:rsidP="00E20C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официальном сайте заказчика – 1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Азово-Черноморском территориальном управлении Росрыболовства</w:t>
      </w:r>
      <w:r w:rsidR="00EB1C2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0" w:history="1">
        <w:r w:rsidR="00EB1C25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http://www.rostov-fishcom.ru/news/16263/</w:t>
        </w:r>
      </w:hyperlink>
    </w:p>
    <w:p w:rsidR="00E20CBF" w:rsidRPr="00AA61C8" w:rsidRDefault="00EB1C25" w:rsidP="00E20C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646F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 сайте исполнителя – 1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646F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646F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г. Азово-Черноморском филиале ФГБНУ «ВНИРО»</w:t>
      </w:r>
      <w:r w:rsidR="00E20CBF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61" w:history="1">
        <w:r w:rsidR="00E20CBF"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https://azniirkh.vniro.ru/content/list/scientific-advice</w:t>
        </w:r>
      </w:hyperlink>
    </w:p>
    <w:p w:rsidR="006B18C5" w:rsidRPr="00AA61C8" w:rsidRDefault="006B18C5" w:rsidP="00C912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9.4. Сведения о форме проведения общественных обсуждений, определенной органами местного самоуправления или органами государственной власти субъектов Российской Федерации.</w:t>
      </w:r>
    </w:p>
    <w:p w:rsidR="006B18C5" w:rsidRPr="00AA61C8" w:rsidRDefault="006B18C5" w:rsidP="00C9121F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общественного обсуждения –</w:t>
      </w:r>
      <w:r w:rsidR="00E20CBF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опрос. Форма представления замечаний – письменная.</w:t>
      </w:r>
    </w:p>
    <w:p w:rsidR="006B18C5" w:rsidRPr="00AA61C8" w:rsidRDefault="006B18C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проводится в муниципальном образовании Семикаракорского района по согласованию с заинтересованными муниципальными образованиями Ростовской области.</w:t>
      </w:r>
    </w:p>
    <w:p w:rsidR="006B18C5" w:rsidRPr="00AA61C8" w:rsidRDefault="006B18C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указанной документацией Материалы ОДУ можно ознакомиться в сети интернет на сайте ФГБНУ «ВНИРО» (Азово-Черноморский филиал) http://azniirkh.vniro.ru/, с момента доступности документации Материалы ОДУ – с 2</w:t>
      </w:r>
      <w:r w:rsidR="00E20CBF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по 2</w:t>
      </w:r>
      <w:r w:rsidR="00E20CBF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апреля.</w:t>
      </w:r>
    </w:p>
    <w:p w:rsidR="006B18C5" w:rsidRPr="00AA61C8" w:rsidRDefault="006B18C5" w:rsidP="00C9121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Опросный лист для заполнения можно скопировать с сайта ФГБНУ «ВНИРО» (Азово-Черноморский филиал) http://azniirkh.vniro.ru/ и с сайта администрации муниципального образования Семикаракорского района https://sem.donland.ru/.</w:t>
      </w:r>
    </w:p>
    <w:p w:rsidR="00E20CBF" w:rsidRPr="00AA61C8" w:rsidRDefault="00E20CBF" w:rsidP="00E20C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" w:name="P115"/>
      <w:bookmarkEnd w:id="24"/>
      <w:r w:rsidRPr="00AA61C8">
        <w:rPr>
          <w:rFonts w:ascii="Times New Roman" w:eastAsia="Calibri" w:hAnsi="Times New Roman" w:cs="Times New Roman"/>
          <w:sz w:val="28"/>
          <w:szCs w:val="28"/>
        </w:rPr>
        <w:t>Заполненный и подписанный опросный лист направлять в письменной форме или в формате электронной копии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момента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доступности документации Материалы ОДУ – 22 марта </w:t>
      </w:r>
      <w:r w:rsidRPr="00AA61C8">
        <w:rPr>
          <w:rFonts w:ascii="Times New Roman" w:eastAsia="Calibri" w:hAnsi="Times New Roman" w:cs="Times New Roman"/>
          <w:sz w:val="28"/>
          <w:szCs w:val="28"/>
        </w:rPr>
        <w:t>2024 г. по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апреля 2024 г. с пометкой «к общественным обсуждениям»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в Администрацию </w:t>
      </w:r>
      <w:r w:rsidRPr="00AA61C8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муниципального образования Семикаракорского района:</w:t>
      </w:r>
      <w:r w:rsidRPr="00AA61C8">
        <w:rPr>
          <w:rFonts w:ascii="Times New Roman" w:eastAsia="Calibri" w:hAnsi="Times New Roman" w:cs="Times New Roman"/>
          <w:b/>
          <w:bCs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346630, Ростовская область, г. Семикаракорск, пр. 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Арабского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д. 18 </w:t>
      </w:r>
      <w:r w:rsidRPr="00AA61C8">
        <w:rPr>
          <w:rFonts w:ascii="Times New Roman" w:eastAsia="Calibri" w:hAnsi="Times New Roman" w:cs="Times New Roman"/>
          <w:sz w:val="28"/>
          <w:szCs w:val="28"/>
        </w:rPr>
        <w:t>тел. +7(86356)41845,</w:t>
      </w:r>
      <w:r w:rsidRPr="00AA61C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</w:rPr>
        <w:t>e-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2" w:history="1">
        <w:r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ushsr@mail.ru</w:t>
        </w:r>
      </w:hyperlink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и/или по адресу: ФГБНУ «ВНИРО» (Азово-Черноморский филиал), 344002, г. Ростов-на-Дону, ул. 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Береговая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>, 21 в, e-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3" w:history="1">
        <w:r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azniirkh</w:t>
        </w:r>
        <w:r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@vniro.ru</w:t>
        </w:r>
      </w:hyperlink>
      <w:r w:rsidRPr="00AA61C8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E20CBF" w:rsidRPr="00AA61C8" w:rsidRDefault="00E20CBF" w:rsidP="00E20C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C8">
        <w:rPr>
          <w:rFonts w:ascii="Times New Roman" w:eastAsia="Calibri" w:hAnsi="Times New Roman" w:cs="Times New Roman"/>
          <w:sz w:val="28"/>
          <w:szCs w:val="28"/>
        </w:rPr>
        <w:t>Замечания и предложения по экологическим аспектам намечаемой деятельности можно направить в письменной форме или в формате электронной копии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момента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доступности документации Материалы ОДУ с 22 марта </w:t>
      </w:r>
      <w:r w:rsidRPr="00AA61C8">
        <w:rPr>
          <w:rFonts w:ascii="Times New Roman" w:eastAsia="Calibri" w:hAnsi="Times New Roman" w:cs="Times New Roman"/>
          <w:sz w:val="28"/>
          <w:szCs w:val="28"/>
        </w:rPr>
        <w:t>2024 г. по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апреля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г.</w:t>
      </w:r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в Администрацию муниципального образования Семикаракорского района:</w:t>
      </w:r>
      <w:r w:rsidRPr="00AA61C8">
        <w:rPr>
          <w:rFonts w:ascii="Times New Roman" w:eastAsia="Calibri" w:hAnsi="Times New Roman" w:cs="Times New Roman"/>
          <w:bCs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346630, Ростовская область, г. Семикаракорск, пр. 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Арабского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18, </w:t>
      </w:r>
      <w:r w:rsidRPr="00AA61C8">
        <w:rPr>
          <w:rFonts w:ascii="Times New Roman" w:eastAsia="Calibri" w:hAnsi="Times New Roman" w:cs="Times New Roman"/>
          <w:sz w:val="28"/>
          <w:szCs w:val="28"/>
        </w:rPr>
        <w:t>тел. +7(86356)41845, e-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4" w:history="1">
        <w:r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ushsr@mail.ru</w:t>
        </w:r>
      </w:hyperlink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 и/или по адресу: ФГБНУ «ВНИРО» (Азово-Черноморский филиал), 344002, г. Ростов-на-Дону, ул. 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</w:rPr>
        <w:t>Береговая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</w:rPr>
        <w:t>, 21 в, e-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5" w:history="1">
        <w:r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azniirkh</w:t>
        </w:r>
        <w:r w:rsidRPr="00AA61C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@vniro.ru</w:t>
        </w:r>
      </w:hyperlink>
      <w:r w:rsidRPr="00AA61C8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10.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Результаты оценки воздействия на окружающую среду, содержащие: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информацию о характере и масштабах воздействия на окружающую среду планируемой (намечаемой) хозяйственной и иной деятельности, альтернативах ее реализации, оценке экологических и связанных с ними социально-экономических и иных последствий этого воздействия и их значимости, возможности минимизации воздействий;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Намечаемая деятельность (обоснование ОДУ) непосредственное воздействие на объекты окружающей среды (атмосферный воздух, на морскую водную среду, геологическую среду и др.) не оказывает.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свою очередь добыча (вылов) водных </w:t>
      </w:r>
      <w:r w:rsidR="005D437E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биоресурсов в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рекомендованных объемах ОДУ, указанных в документации «Материалы общего допустимого улова в районе добычи (вылова) водных биологических ресурсов во внутренних водах Российской Федерации, за исключением внутренних морских вод Российской Федерации, в границах Ростовской области на 2025</w:t>
      </w:r>
      <w:r w:rsidR="006A05C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(с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оценкой воздействия на окружающую среду)» не нанесет ущерба водным биоресурсам и окружающей среде. </w:t>
      </w:r>
      <w:proofErr w:type="gramEnd"/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б) сведения о выявлении и учете (с обоснованиями учета или причин отклонения) общественных предпочтений при принятии заказчиком (исполнителем) решений, касающихся планируемой (намечаемой) хозяйственной и иной деятельности;</w:t>
      </w:r>
    </w:p>
    <w:p w:rsidR="006646F5" w:rsidRPr="00AA61C8" w:rsidRDefault="006646F5" w:rsidP="00C9121F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Информация будет раскрыта по результатам общественных обсуждений.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в) обоснование и решения заказчика по определению альтернативных вариантов </w:t>
      </w:r>
      <w:r w:rsidR="005D437E"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реализации,</w:t>
      </w:r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планируемой (намечаемой) хозяйственной и иной деятельности (в том числе по выбору технологий и (или) месту размещения объекта и (или) иные) или отказа от ее </w:t>
      </w:r>
      <w:proofErr w:type="gramStart"/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реализации</w:t>
      </w:r>
      <w:proofErr w:type="gramEnd"/>
      <w:r w:rsidRPr="00AA61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согласно проведенной оценке воздействия на окружающую среду.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того, что «нулевой» вариант – отказ от намечаемой деятельности не рассматривается, как несоответствующий законодательству в области рыболовства, выбран вариант разработки материалов ОДУ на 2025</w:t>
      </w:r>
      <w:r w:rsidR="006A05CA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для целей регулирования рыболовства. 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11.</w:t>
      </w:r>
      <w:r w:rsidRPr="00AA6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Резюме нетехнического характера</w:t>
      </w:r>
    </w:p>
    <w:p w:rsidR="006646F5" w:rsidRPr="00AA61C8" w:rsidRDefault="006646F5" w:rsidP="00C912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материалы ОВОС являются документом, обобщающим результаты исследований по оценке воздействия намечаемой деятельности (научное обоснование общего объема водных биологических ресурсов) в Азово-Черноморском рыбохозяйственном бассейне.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Основной мерой регулирования промысла является биологически обоснованная величина – общий допустимый улов (ОДУ). </w:t>
      </w:r>
    </w:p>
    <w:p w:rsidR="006646F5" w:rsidRPr="00AA61C8" w:rsidRDefault="006646F5" w:rsidP="00C9121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Оценка текущего и перспективного состояния запасов ВБР, обоснование ОДУ выполняется в строгом соответствии с приказом Росрыболовства от 06.02.2015</w:t>
      </w:r>
      <w:r w:rsidR="006A05CA"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г. № 104 на основе концепции «предосторожного» подхода.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Применяемые методы позволяют выполнить полноценный прогноз состояния запаса, представление о поведении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биомассы и промысловой убыли относительно биологических ориентиров, рассчитать сценарии изменения биомассы запаса и промысловой смертности для 2025-2026 гг. и выбрать оптимальный сценарий прогнозирования ОДУ для предотвращения негативного воздействия промысла на состояние промысловой части и воспроизводительную способность популяций (более полное обоснование и описание результатов моделирования биомассы раков и прогнозирование ОДУ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раков на 2025 г. представлено в разделе 3 «Азово-Черноморский рыбохозяйственный бассейн.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Внутренние водные объекты Ростовской области»). </w:t>
      </w:r>
      <w:proofErr w:type="gramEnd"/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При вылове раков в пределах рекомендованного ОДУ, неукоснительном соблюдении Правил рыболовства, промысел не будет оказывать негативное воздействие на воспроизводительную способность популяций промысловых биоресурсов и не подорвет их запасов. В целом будет способствовать поддержанию продукционных свойств запаса на высоком уровне и таким образом не наносит вред популяциям.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Таким образом, по результатам выполненных оценок предлагаемый ОДУ позволит осуществлять устойчивое неистощимое рыболовство раков в промысловых водоемах Ростовской области (р. Дон, включая водоемы поймы и бассейне р. Сал).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>Меры п</w:t>
      </w:r>
      <w:r w:rsidR="006B18C5" w:rsidRPr="00AA61C8">
        <w:rPr>
          <w:rFonts w:ascii="Times New Roman" w:eastAsia="SimSun" w:hAnsi="Times New Roman" w:cs="Times New Roman"/>
          <w:sz w:val="28"/>
          <w:szCs w:val="28"/>
          <w:u w:val="single"/>
        </w:rPr>
        <w:t>о сохранению водных биоресурсов.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Для предотвращения негативного воздействия промысла раков на воспроизводство раков и сохранение водных биоресурсов Правилами рыболовства установлен запрет промысла раков 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в преднерестовый и нерестовый периоды и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вылов самок раков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, вынашивающих икру и личинок (п. 35.1).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Изъятие раков из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раколовок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проводится непосредственно на месте лова.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Действующими Правилами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 запрещается при осуществлении добычи (вылова) раков производить добычу (вылов), приемку, выгрузку, обработку, транспортировку и хранение водных биоресурсов, имеющих в свежем виде длину меньше 9</w:t>
      </w:r>
      <w:r w:rsidRPr="00AA61C8">
        <w:rPr>
          <w:rFonts w:ascii="Times New Roman" w:eastAsia="SimSun" w:hAnsi="Times New Roman" w:cs="Times New Roman"/>
          <w:sz w:val="28"/>
          <w:szCs w:val="28"/>
        </w:rPr>
        <w:t> 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см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тела от линии, соединяющей середину глаз, до окончания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хвостовых пластин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 (промысловый размер).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выставленные в водоем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могут заходить помимо промысловых раков особи непромыслового размера и молодь рыб. Для </w:t>
      </w:r>
      <w:r w:rsidRPr="00AA61C8">
        <w:rPr>
          <w:rFonts w:ascii="Times New Roman" w:eastAsia="Courier New" w:hAnsi="Times New Roman" w:cs="Times New Roman"/>
          <w:sz w:val="28"/>
          <w:szCs w:val="28"/>
        </w:rPr>
        <w:t>минимизации возможного негативного воздействия на водные биоресурсы в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>.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 19.3, </w:t>
      </w: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37.1, 37.2. </w:t>
      </w:r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действующих Правил раки непромысловых размеров и случайно попавшая в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>раколовки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рыба должны выпускаться в водоем в месте отлова с наименьшими повреждениями. 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</w:pPr>
      <w:r w:rsidRPr="00AA61C8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>Для сохранения водных биоресурсов осуществляются программы по мониторингу состояния промысловых биоресурсов в водных объектах при проведении промысла раков.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Программа мониторинга включает анализ уловов раков промысловыми бригадами, включающий численность, биомассу раков в уловах, промысловое усилие, размерно-массовый состав облавливаемой части популяции раков в течение промыслового периода, анализ статистических данных Азово-Черноморского территориального управления Росрыболовства по вылову и процент освоения квот вылова. </w:t>
      </w:r>
    </w:p>
    <w:p w:rsidR="006646F5" w:rsidRPr="00AA61C8" w:rsidRDefault="006646F5" w:rsidP="00C91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>Проведенные исследования показали, что ежегодный вылов раков, осуществляемый пользователями на рыбохозяйственных водоемах в прогнозируемых объемах, не оказывает негативного воздействия на воспроизводительную способность популяций раков и не подрывает их промысловые запасы. Поэтому комплекс специальных мероприятий по рациональному использованию и охране водных биоресурсов не требуется. Экологические ограничения при осуществлении добычи раков связаны в основном с соблюдением Положений Водного кодекса РФ – Режима водоохранной зоны природных водоемов.</w:t>
      </w:r>
    </w:p>
    <w:p w:rsidR="006646F5" w:rsidRPr="00AA61C8" w:rsidRDefault="006646F5" w:rsidP="00C9121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соблюдении пользователями требований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Водного кодекса РФ,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рыболовства и должном контроле промысла деятельность по добыче (вылову) раков во внутренних водоемах Ростовской области не окажет негативного в</w:t>
      </w:r>
      <w:r w:rsidR="006B18C5"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оздействия на окружающую среду.</w:t>
      </w:r>
    </w:p>
    <w:p w:rsidR="006646F5" w:rsidRPr="00AA61C8" w:rsidRDefault="006646F5" w:rsidP="00C9121F">
      <w:pPr>
        <w:spacing w:after="0" w:line="360" w:lineRule="auto"/>
        <w:ind w:left="142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6F5" w:rsidRPr="00AA61C8" w:rsidRDefault="006B18C5" w:rsidP="00C9121F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61C8">
        <w:rPr>
          <w:rFonts w:ascii="Times New Roman" w:eastAsia="Times New Roman" w:hAnsi="Times New Roman" w:cs="Times New Roman"/>
          <w:b/>
          <w:bCs/>
          <w:sz w:val="28"/>
          <w:szCs w:val="28"/>
        </w:rPr>
        <w:t>12</w:t>
      </w:r>
      <w:r w:rsidR="006646F5" w:rsidRPr="00AA61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6646F5" w:rsidRPr="00AA61C8">
        <w:rPr>
          <w:rFonts w:ascii="Times New Roman" w:eastAsia="Times New Roman" w:hAnsi="Times New Roman" w:cs="Times New Roman"/>
          <w:bCs/>
          <w:sz w:val="28"/>
          <w:szCs w:val="28"/>
        </w:rPr>
        <w:t>Запасы и ОДУ водных биоресурсов во внутренних водах Ростовской области, за исключением внутренних морских вод, на 2025 г.</w:t>
      </w:r>
    </w:p>
    <w:p w:rsidR="006646F5" w:rsidRPr="00AA61C8" w:rsidRDefault="006646F5" w:rsidP="00C9121F">
      <w:pPr>
        <w:spacing w:after="0" w:line="360" w:lineRule="auto"/>
        <w:ind w:left="142" w:firstLine="567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</w:p>
    <w:p w:rsidR="006646F5" w:rsidRPr="00AA61C8" w:rsidRDefault="006646F5" w:rsidP="00AD713A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Таблица 2</w:t>
      </w:r>
      <w:r w:rsidR="00035BBD" w:rsidRPr="00AA61C8">
        <w:rPr>
          <w:rFonts w:ascii="Times New Roman" w:eastAsia="SimSun" w:hAnsi="Times New Roman" w:cs="Times New Roman"/>
          <w:sz w:val="28"/>
          <w:szCs w:val="28"/>
        </w:rPr>
        <w:t>2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– Величина запасов и ОДУ раков </w:t>
      </w:r>
      <w:r w:rsidR="006A05CA" w:rsidRPr="00AA61C8">
        <w:rPr>
          <w:rFonts w:ascii="Times New Roman" w:eastAsia="SimSun" w:hAnsi="Times New Roman"/>
          <w:sz w:val="28"/>
          <w:szCs w:val="28"/>
        </w:rPr>
        <w:t>(</w:t>
      </w:r>
      <w:r w:rsidR="006A05CA" w:rsidRPr="00AA61C8">
        <w:rPr>
          <w:rFonts w:ascii="Times New Roman" w:eastAsia="SimSun" w:hAnsi="Times New Roman"/>
          <w:i/>
          <w:sz w:val="28"/>
          <w:szCs w:val="28"/>
        </w:rPr>
        <w:t xml:space="preserve">виды родов </w:t>
      </w:r>
      <w:proofErr w:type="spellStart"/>
      <w:r w:rsidR="006A05CA" w:rsidRPr="00AA61C8">
        <w:rPr>
          <w:rFonts w:ascii="Times New Roman" w:eastAsia="SimSun" w:hAnsi="Times New Roman"/>
          <w:i/>
          <w:sz w:val="28"/>
          <w:szCs w:val="28"/>
          <w:lang w:val="en-US"/>
        </w:rPr>
        <w:t>Astacus</w:t>
      </w:r>
      <w:proofErr w:type="spellEnd"/>
      <w:r w:rsidR="006A05CA" w:rsidRPr="00AA61C8">
        <w:rPr>
          <w:rFonts w:ascii="Times New Roman" w:eastAsia="SimSun" w:hAnsi="Times New Roman"/>
          <w:i/>
          <w:sz w:val="28"/>
          <w:szCs w:val="28"/>
        </w:rPr>
        <w:t>,</w:t>
      </w:r>
      <w:r w:rsidR="006A05CA" w:rsidRPr="00AA61C8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6A05CA" w:rsidRPr="00AA61C8">
        <w:rPr>
          <w:rFonts w:ascii="Times New Roman" w:eastAsia="SimSun" w:hAnsi="Times New Roman"/>
          <w:i/>
          <w:sz w:val="28"/>
          <w:szCs w:val="28"/>
          <w:lang w:val="en-US"/>
        </w:rPr>
        <w:t>Pontastacus</w:t>
      </w:r>
      <w:proofErr w:type="spellEnd"/>
      <w:r w:rsidR="006A05CA" w:rsidRPr="00AA61C8">
        <w:rPr>
          <w:rFonts w:ascii="Times New Roman" w:eastAsia="SimSun" w:hAnsi="Times New Roman"/>
          <w:sz w:val="28"/>
          <w:szCs w:val="28"/>
        </w:rPr>
        <w:t xml:space="preserve">)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 промысловых водоемах Ростовской области на 2025 г.,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т</w:t>
      </w:r>
      <w:proofErr w:type="gramEnd"/>
    </w:p>
    <w:p w:rsidR="006646F5" w:rsidRPr="00AA61C8" w:rsidRDefault="006646F5" w:rsidP="00C9121F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0"/>
        <w:gridCol w:w="1843"/>
        <w:gridCol w:w="2126"/>
      </w:tblGrid>
      <w:tr w:rsidR="006646F5" w:rsidRPr="00AA61C8" w:rsidTr="006646F5">
        <w:trPr>
          <w:trHeight w:val="883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Водоем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Запас, 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ОДУ, </w:t>
            </w:r>
            <w:proofErr w:type="gramStart"/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т</w:t>
            </w:r>
            <w:proofErr w:type="gramEnd"/>
          </w:p>
        </w:tc>
      </w:tr>
      <w:tr w:rsidR="006646F5" w:rsidRPr="00AA61C8" w:rsidTr="006646F5">
        <w:trPr>
          <w:trHeight w:val="544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р. Дон, включая водные объекты поймы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3,2</w:t>
            </w:r>
          </w:p>
        </w:tc>
      </w:tr>
      <w:tr w:rsidR="006646F5" w:rsidRPr="00AA61C8" w:rsidTr="006646F5">
        <w:trPr>
          <w:trHeight w:val="442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Бассейн р. Сал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42,4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13,4</w:t>
            </w:r>
          </w:p>
        </w:tc>
      </w:tr>
      <w:tr w:rsidR="006646F5" w:rsidRPr="00AA61C8" w:rsidTr="006646F5">
        <w:trPr>
          <w:trHeight w:val="442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6646F5" w:rsidRPr="00AA61C8" w:rsidRDefault="006646F5" w:rsidP="00C9121F">
            <w:pPr>
              <w:spacing w:after="0" w:line="36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61C8">
              <w:rPr>
                <w:rFonts w:ascii="Times New Roman" w:eastAsia="SimSun" w:hAnsi="Times New Roman" w:cs="Times New Roman"/>
                <w:sz w:val="28"/>
                <w:szCs w:val="28"/>
              </w:rPr>
              <w:t>16,6</w:t>
            </w:r>
          </w:p>
        </w:tc>
      </w:tr>
    </w:tbl>
    <w:p w:rsidR="006A05CA" w:rsidRPr="00AA61C8" w:rsidRDefault="006A05CA" w:rsidP="00C9121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6A05CA" w:rsidRPr="00AA61C8" w:rsidRDefault="006A05CA">
      <w:pPr>
        <w:rPr>
          <w:rFonts w:ascii="Times New Roman" w:eastAsia="SimSun" w:hAnsi="Times New Roman" w:cs="Times New Roman"/>
          <w:b/>
          <w:sz w:val="28"/>
          <w:szCs w:val="28"/>
        </w:rPr>
      </w:pPr>
      <w:r w:rsidRPr="00AA61C8">
        <w:rPr>
          <w:rFonts w:ascii="Times New Roman" w:eastAsia="SimSun" w:hAnsi="Times New Roman" w:cs="Times New Roman"/>
          <w:b/>
          <w:sz w:val="28"/>
          <w:szCs w:val="28"/>
        </w:rPr>
        <w:br w:type="page"/>
      </w:r>
    </w:p>
    <w:p w:rsidR="006B18C5" w:rsidRPr="00AA61C8" w:rsidRDefault="006B18C5" w:rsidP="00C9121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Бабаян В.К,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Бобырев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А.Е., Булгакова Т.И. и др. Методические рекомендации по оценке запасов приоритетных видов водных биологических ресурсов. М.: Изд-во ВНИРО. 2018. 312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Бабаян В. К.,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Бобырев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А.Е., Михайлов А.И., Шереметьев А.Д. Программный комплекс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Combi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4.0. // Свидетельство о регистрации программы для ЭВМ. 2017. RU 2017660724 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Барабашин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Т.О., Кораблина И.В., Павленко Л.Ф.,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Скрыпник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Г.В., Короткова Л.И. Методическое обеспечение мониторинга загрязнения водных объектов Азово-Черноморского бассейна // Водные биоресурсы и среда обитания, 2018. Т. 1. № 3-4. С. 9-27.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Бродский С.Я. Высшие раки. Фауна Украины // Киев: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Наукова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думка, 1981, Т 26 –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Вып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 3, 210 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Воловик С.П.,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Корпакова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И.Г.,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Лавренова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Е.А.,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Темердашев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З.А. Экосистема Азовского моря: режим, продуктивность, проблемы управления, часть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I</w:t>
      </w:r>
      <w:r w:rsidRPr="00AA61C8">
        <w:rPr>
          <w:rFonts w:ascii="Times New Roman" w:eastAsia="SimSun" w:hAnsi="Times New Roman" w:cs="Times New Roman"/>
          <w:sz w:val="28"/>
          <w:szCs w:val="28"/>
        </w:rPr>
        <w:t>. Режим и продуктивность в период до зарегулирования стока рек// Краснодар, 2008, С. 63-69.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Массовая концентрация взвешенных веществ и сухого остатка в водах. Методика измерений гравиметрическим методом. Ростов н/Д.: Росгидромет, ГУ ГХИ</w:t>
      </w:r>
      <w:r w:rsidRPr="00AA61C8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, 2019. 24 с.</w:t>
      </w:r>
      <w:r w:rsidRPr="00AA61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РД 52.24.468-2019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Глушко Е.Ю., Глотова И.А. Речные раки в водоемах Ростовской области. Биология, условия обитания, состояние популяций//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Матер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Междунар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Науч.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Конф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«Вопросы сохранения биоразнообразия водных объектов». Ростов н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/Д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: АзНИИРХ, 2015. С. 71-75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Глушко Е.Ю. Состояние популяций, запасов и промысла раков в водоемах Ростовской области в период 2012-2018 гг. // Водные биоресурсы и среда обитания, 2019. Т. 2. № 3. С. 68-74.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ГОСТ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Р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59024-2020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Вода. Общие требования к отбору проб. – Введен 2022-06-01. – М.: Российский институт стандартизации, 2022. 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– 70 с. –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URL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: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https</w:t>
      </w:r>
      <w:r w:rsidRPr="00AA61C8">
        <w:rPr>
          <w:rFonts w:ascii="Times New Roman" w:eastAsia="SimSun" w:hAnsi="Times New Roman" w:cs="Times New Roman"/>
          <w:sz w:val="28"/>
          <w:szCs w:val="28"/>
        </w:rPr>
        <w:t>://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files</w:t>
      </w:r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stroyinf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ru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/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Data</w:t>
      </w:r>
      <w:r w:rsidRPr="00AA61C8">
        <w:rPr>
          <w:rFonts w:ascii="Times New Roman" w:eastAsia="SimSun" w:hAnsi="Times New Roman" w:cs="Times New Roman"/>
          <w:sz w:val="28"/>
          <w:szCs w:val="28"/>
        </w:rPr>
        <w:t>/743/74335.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pdf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u w:val="single"/>
        </w:rPr>
        <w:t xml:space="preserve"> </w:t>
      </w:r>
      <w:r w:rsidRPr="00AA61C8">
        <w:rPr>
          <w:rFonts w:ascii="Times New Roman" w:eastAsia="SimSun" w:hAnsi="Times New Roman" w:cs="Times New Roman"/>
          <w:sz w:val="28"/>
          <w:szCs w:val="28"/>
        </w:rPr>
        <w:t>(дата обращения 01.09.2023).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ГОСТ 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>17.1.5.01-80. Охрана природы (ССОП). Гидросфера. Общие требования к отбору проб донных отложений водных объектов для анализа на загрязненность (с Изменением № 1). – М.: ИПК Издательство стандартов, 2002. – 7 с.</w:t>
      </w:r>
    </w:p>
    <w:p w:rsidR="006B18C5" w:rsidRPr="00AA61C8" w:rsidRDefault="006B18C5" w:rsidP="00C9121F">
      <w:pPr>
        <w:widowControl w:val="0"/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Джамалов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Р.Г., Киреева М.Б., Косолапов А.Е., Фролова Н.Л. Водные ресурсы бассейна Дона и их экологическое состояние. – М.: ГЕОС, 2017. – 205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Майский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В.Н. К методике учета рыбных запасов в Азовском море. Рыбное хозяйство, 1939, № 3, с. 33-34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Массовая концентрация ртути в водах. Методика выполнения измерений методом атомной абсорбции в холодном паре. – Ростов н/Д.: Росгидромет, ГУ ГХИ, 2005. – 28 с. РД 52.24.479-2008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Массовая концентрация полихлорированных бифенилов (по сумме индикаторных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конгенеров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элементах водных (пресных и морских) экосистем (вода, донные отложения, гидробионты), питьевых и очищенных сточных водах, почвах. Методика измерения методом газожидкостной хроматографии / Ростов-на-Дону: ФГБИ «ГХИ». 2020. 32 с. ФР.1.31.2021.38827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Методика выполнения измерений массовой доли нефтяных углеводородов в пробах гидробионтов пресных и морских водных объектов люминесцентным методом. Ростов-на-Дону: Вираж, 2013. 14 с. ФР.1.31.2013.15608 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Методика выполнения измерений массовой доли пестицидов в почвах и донных отложениях пресных и морских водных объектов МИ методом газожидкостной хроматографии. – Ростов-на-Дону: ФГУП «АзНИИРХ», 2013. – 13 с. ФР.1.31.2013.16637</w:t>
      </w:r>
    </w:p>
    <w:p w:rsidR="006B18C5" w:rsidRPr="00AA61C8" w:rsidRDefault="006B18C5" w:rsidP="00C9121F">
      <w:pPr>
        <w:keepNext/>
        <w:numPr>
          <w:ilvl w:val="0"/>
          <w:numId w:val="1"/>
        </w:numPr>
        <w:suppressAutoHyphens/>
        <w:autoSpaceDE w:val="0"/>
        <w:autoSpaceDN w:val="0"/>
        <w:spacing w:after="0" w:line="360" w:lineRule="auto"/>
        <w:ind w:left="928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Методика выполнения измерений массовой доли ртути в пробах гидробионтов методом беспламенной атомной абсорбции. Ростов-на-Дону: Вираж, 2014. 14 с. ФР.1.31.2015.21649 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выполнения измерений массовой концентрации нефтепродуктов в пробах природных (пресных и морских) и очищенных сточных и питьевых вод.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Ростов-на-Дону: ФГУП «АзНИИРХ», 2005. – 13 с.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ФР.1.31.2005.01511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выполнения измерений массовых долей алюминия, бария, ванадия, железа, кобальта, магния, марганца, меди, мышьяка, никеля, свинца, стронция, титана, хрома, цинка и серы общей методом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рентгенофлюоресцентного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Ростов-на-Дону: Вираж, 2006. – 14 с. ФР.1.31.2006.02634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A61C8">
        <w:rPr>
          <w:rFonts w:ascii="Times New Roman" w:eastAsia="SimSun" w:hAnsi="Times New Roman" w:cs="Times New Roman"/>
          <w:bCs/>
          <w:sz w:val="28"/>
          <w:szCs w:val="28"/>
        </w:rPr>
        <w:t>Методика выполнения измерений массовых долей железа, марганца, мышьяка, никеля и хрома в пробах гидробионтов методом атомной абсорбции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AA61C8">
        <w:rPr>
          <w:rFonts w:ascii="Times New Roman" w:eastAsia="SimSun" w:hAnsi="Times New Roman" w:cs="Times New Roman"/>
          <w:bCs/>
          <w:sz w:val="28"/>
          <w:szCs w:val="28"/>
        </w:rPr>
        <w:t>с</w:t>
      </w:r>
      <w:proofErr w:type="gramEnd"/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электротермической </w:t>
      </w:r>
      <w:proofErr w:type="spellStart"/>
      <w:r w:rsidRPr="00AA61C8">
        <w:rPr>
          <w:rFonts w:ascii="Times New Roman" w:eastAsia="SimSun" w:hAnsi="Times New Roman" w:cs="Times New Roman"/>
          <w:bCs/>
          <w:sz w:val="28"/>
          <w:szCs w:val="28"/>
        </w:rPr>
        <w:t>атомизацией</w:t>
      </w:r>
      <w:proofErr w:type="spellEnd"/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. 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Ростов-на-Дону: ФГУП «АзНИИРХ», 2018. 16 с.</w:t>
      </w:r>
      <w:r w:rsidRPr="00AA61C8">
        <w:rPr>
          <w:rFonts w:ascii="Times New Roman" w:eastAsia="SimSun" w:hAnsi="Times New Roman" w:cs="Times New Roman"/>
          <w:bCs/>
          <w:sz w:val="28"/>
          <w:szCs w:val="28"/>
        </w:rPr>
        <w:t xml:space="preserve"> ФР.1.31.2019.32870</w:t>
      </w:r>
    </w:p>
    <w:p w:rsidR="006B18C5" w:rsidRPr="00AA61C8" w:rsidRDefault="006B18C5" w:rsidP="00C9121F">
      <w:pPr>
        <w:keepNext/>
        <w:numPr>
          <w:ilvl w:val="0"/>
          <w:numId w:val="1"/>
        </w:numPr>
        <w:suppressAutoHyphens/>
        <w:autoSpaceDE w:val="0"/>
        <w:autoSpaceDN w:val="0"/>
        <w:spacing w:after="0" w:line="360" w:lineRule="auto"/>
        <w:ind w:left="928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Методика выполнения измерений массовых долей кадмия, меди, свинца и цинка в пробах гидробионтов методом атомной абсорбции </w:t>
      </w:r>
      <w:proofErr w:type="gram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электротермической </w:t>
      </w:r>
      <w:proofErr w:type="spellStart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атомизацией</w:t>
      </w:r>
      <w:proofErr w:type="spellEnd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. Ростов-на-Дону: Вираж, 2007. 14 с. ФР. 1.31.2007.04014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Методика выполнения измерений массовых долей хлорорганических пестицидов в пробах биологического материала пресных и морских водных объектов методом газожидкостной хроматографии. Ростов-на-Дону: Вираж, 2008. 13 с. ФР.1.31.2008.04701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выполнения измерений массовых концентраций алюминия, бериллия, ванадия, железа, кадмия, кобальта, марганца, меди, молибдена, никеля, свинца, серебра, хрома и цинка в водах методом атомной адсорбции с электротермической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атомизацией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Ростов н/Д.: Росгидромет ГУ «ГХИ». 2021. 30 с. РД 52.24.377-2021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Методика выполнения измерений массовых концентраций алюминия, железа, кадмия, кобальта, марганца, меди, мышьяка, никеля, свинца, серебра, стронция, сурьмы, таллия, хрома и цинка в пробах природных (пресных и морских) и очищенных сточных вод методом атомной адсорбции с электрометрической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атомизацией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Ростов-на-Дону: Вираж, 2006. – 18 с. ФР.1.31.2006.01514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выполнения измерений массовых концентраций пестицидов в пробах природных (пресных и морских вод). 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Ростов-на-Дону: ФГУП «АзНИИРХ», 2005. – 14 с.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ФР.1.31.2005.01513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измерений массовой доли нефтепродуктов в пробах почв и донных отложений пресных, и морских водных объектов люминесцентным методом. 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Ростов-на-Дону: ФГУП «АзНИИРХ», 2012. – 18 с.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ФР.1.29.2012.12493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измерений массовой доли общей ртути в почвах и донных отложениях морских и пресноводных объектов методом атомной абсорбции в «холодном паре» / </w:t>
      </w:r>
      <w:r w:rsidRPr="00AA6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Ростов-на-Дону: ФБУ «Ростовский ЦСМ». 2019. 16 с.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ФР.1.31.2019.35823.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измерения активности радионуклидов с использованием сцинтилляционного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гамма-спектрометра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программным обеспечением Менделеево: ГНМЦ «ВНИИФТРИ», 2003. – 32 с.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выполнения измерений массовых долей кадмия в почвах и донных отложениях пресноводных и морских водоёмов. – Ростов-на-Дону: Вираж, 2007. – 11 с. ФР.1.31.2007.03104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Нефедов В.Н.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Длиннопалый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рак </w:t>
      </w:r>
      <w:r w:rsidRPr="00AA61C8">
        <w:rPr>
          <w:rFonts w:ascii="Times New Roman" w:eastAsia="SimSun" w:hAnsi="Times New Roman" w:cs="Times New Roman"/>
          <w:i/>
          <w:sz w:val="28"/>
          <w:szCs w:val="28"/>
        </w:rPr>
        <w:t>(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  <w:lang w:val="en-US"/>
        </w:rPr>
        <w:t>Astacus</w:t>
      </w:r>
      <w:proofErr w:type="spellEnd"/>
      <w:r w:rsidRPr="00AA61C8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i/>
          <w:sz w:val="28"/>
          <w:szCs w:val="28"/>
          <w:lang w:val="en-US"/>
        </w:rPr>
        <w:t>leptodactylus</w:t>
      </w:r>
      <w:proofErr w:type="spellEnd"/>
      <w:r w:rsidRPr="00AA61C8">
        <w:rPr>
          <w:rFonts w:ascii="Times New Roman" w:eastAsia="SimSun" w:hAnsi="Times New Roman" w:cs="Times New Roman"/>
          <w:i/>
          <w:sz w:val="28"/>
          <w:szCs w:val="28"/>
        </w:rPr>
        <w:t>)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в водоемах Волгоградской области. Биология, промысел и вопросы культивирования // Волгоград, 2004, 179 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Определитель зоопланктона и зообентоса пресных вод Европейской России. / Под редакцией В.Р. Алексеева и С.Я.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Цалолихина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M-</w:t>
      </w:r>
      <w:r w:rsidRPr="00AA61C8">
        <w:rPr>
          <w:rFonts w:ascii="Times New Roman" w:eastAsia="SimSun" w:hAnsi="Times New Roman" w:cs="Times New Roman"/>
          <w:sz w:val="28"/>
          <w:szCs w:val="28"/>
        </w:rPr>
        <w:lastRenderedPageBreak/>
        <w:t>СПб.: Товарищество научных изданий КМК, 2016. – Т. 2: Зообентос. – 457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Определитель пресноводных беспозвоночных России и сопредельных территорий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/ П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од ред. С.Я.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Цалолихина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СПб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., 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1994. – Т.1: Низшие беспозвоночные. – 394 с. 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Определитель пресноводных беспозвоночных России и сопредельных территорий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/ П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од ред. С.Я.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Цалолихина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СПб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., 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1995. – Т.5: Ракообразные. – 627 с. 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Определитель пресноводных беспозвоночных России и сопредельных территорий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/ П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од ред. С.Я.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Цалолихина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СПб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., 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2004. – Т.6: Моллюски, Полихеты, Немертины. – 528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 w:hanging="361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Определитель фауны Черного и Азовского морей / Под общ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р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уковод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Ф. Д.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Мордухай-Болтовского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Киев, 1968. – Т. 1: Простейшие, губки, кишечнополостные, черви, щупальцевые. – 437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 w:hanging="361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Определитель фауны Черного и Азовского морей / Под общ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р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уковод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Ф. Д.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Мордухай-Болтовского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Киев, 1969. – Т. 2: Ракообразные.  – 536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 w:hanging="361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Определитель фауны Черного и Азовского морей / Под общ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.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>р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уковод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Ф. Д.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Мордухай-Болтовского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– Киев, 1972. – Т. 3: Членистоногие (кроме ракообразных), моллюски, иглокожие, щетинкочелюстные, хордовые. – 340 с.</w:t>
      </w:r>
      <w:bookmarkStart w:id="25" w:name="_Hlk63247460"/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 w:hanging="361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Приказ Минсельхоза России от 09.01.2020 № 1 «Об утверждении правил рыболовства для Азово-Черноморского рыбохозяйственного бассейна»: зарегистрирован в Минюсте России 12.03.2020 № 57719: действ</w:t>
      </w:r>
      <w:proofErr w:type="gram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24.03.2020 // Официальный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интернет-портал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правовой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информации.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A61C8">
        <w:rPr>
          <w:rFonts w:ascii="Times New Roman" w:eastAsia="SimSun" w:hAnsi="Times New Roman" w:cs="Times New Roman"/>
          <w:sz w:val="28"/>
          <w:szCs w:val="28"/>
        </w:rPr>
        <w:t>–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http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://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publication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pravo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gov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Document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View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/0001202003130002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(дата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обращения 02.02.2023).</w:t>
      </w:r>
    </w:p>
    <w:p w:rsidR="006B18C5" w:rsidRPr="00AA61C8" w:rsidRDefault="006B18C5" w:rsidP="00DE4B96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Приказ Федерального Агентства по рыболовству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13 декабря 2016 г. N552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нормативов качества водных объектов рыбохозяйственного значения, в том числе нормативов предельно допустимых концентраций вредных веществ в водах водных объектов рыбохозяйственного значения» (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изменениями на 10 марта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 г.)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6" w:history="1">
        <w:r w:rsidRPr="00AA61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https://docs.cntd.ru/document/420389120</w:t>
        </w:r>
      </w:hyperlink>
      <w:r w:rsidRPr="00AA6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(дата обращения 16.11.2023)</w:t>
      </w:r>
      <w:bookmarkEnd w:id="25"/>
      <w:r w:rsidRPr="00AA61C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F78EA" w:rsidRPr="00AA61C8" w:rsidRDefault="006F78EA" w:rsidP="00DE4B96">
      <w:pPr>
        <w:numPr>
          <w:ilvl w:val="0"/>
          <w:numId w:val="1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61C8">
        <w:rPr>
          <w:rStyle w:val="af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Пятинский</w:t>
      </w:r>
      <w:proofErr w:type="spellEnd"/>
      <w:r w:rsidRPr="00AA61C8">
        <w:rPr>
          <w:rStyle w:val="af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М. М., </w:t>
      </w:r>
      <w:proofErr w:type="spellStart"/>
      <w:r w:rsidRPr="00AA61C8">
        <w:rPr>
          <w:rStyle w:val="af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Мазникова</w:t>
      </w:r>
      <w:proofErr w:type="spellEnd"/>
      <w:r w:rsidRPr="00AA61C8">
        <w:rPr>
          <w:rStyle w:val="af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О. А. </w:t>
      </w:r>
      <w:r w:rsidRPr="00AA61C8">
        <w:rPr>
          <w:rFonts w:ascii="Times New Roman" w:hAnsi="Times New Roman" w:cs="Times New Roman"/>
          <w:sz w:val="28"/>
          <w:szCs w:val="28"/>
        </w:rPr>
        <w:t>Методы оценки запасов раков в водоемах нижнего течения р. Дон //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Тезисы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Междунар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науч.- практической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Конф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. «Современные методы оценки и рационального использования водных биологических ресурсов». М: ВНИРО, 2023. С.114-116.</w:t>
      </w:r>
    </w:p>
    <w:p w:rsidR="006B18C5" w:rsidRPr="00AA61C8" w:rsidRDefault="006B18C5" w:rsidP="00DE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РД 52.24.382-2019. Массовая концентрация фосфатного фосфора в водах. Методика измерений фотометрическим методом. – Ростов н/Д.: Росгидромет, ГУ «ГХИ», 2019. – 30 с.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after="0" w:line="36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 52.24.383-2018. Массовая концентрация аммонийного азота в водах. Методика измерений фотометрическим методом в воде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индофенолового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Ростов н/Д.: Росгидромет, ФГБУ «ГХИ», 2018. – 41 с.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 52.24.419-2019. Массовая концентрация растворенного кислорода в водах. Методика измерений йодометрическим методом. – Ростов н/Д.: Росгидромет, ФГБУ «ГХИ», 2000. – 26 с. 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РД 52.24.468-2019. Массовая концентрация взвешенных веществ и сухого остатка в водах. Методика измерений гравиметрическим методом. – Ростов н/Д.: Росгидромет, ФГБУ «ГХИ», 2019. – 28 с.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РД 52.24.523-2009. Массовая концентрация нитратов в водах. Методика выполнения измерений фотометрическим методом с сульфаниламидом и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-(1-нафтил)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этилендиамина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дигидрохлоридом</w:t>
      </w:r>
      <w:proofErr w:type="spellEnd"/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после восстановления в кадмиевом редукторе.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Ростов н/Д.: Росгидромет, ГУ «ГХИ», 2009. </w:t>
      </w: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A6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 с. 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ind w:left="92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 52.24.364-2007 Массовая концентрация общего азота в водах. Методика выполнения измерений фотометрическим методом после окисления персульфатом калия. Ростов н/Д.: Росгидромет, ГУ ГХИ, 2007. </w:t>
      </w:r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 с.</w:t>
      </w:r>
    </w:p>
    <w:p w:rsidR="006B18C5" w:rsidRPr="00AA61C8" w:rsidRDefault="006B18C5" w:rsidP="00C9121F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ind w:left="92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 52.24.387-2019 Массовая концентрация фосфора общего и фосфора валового в водах. Методика измерений фотометрическим методом после окисления персульфатом калия. Ростов н/Д.: Росгидромет, ФГБУ ГХИ, 2019. </w:t>
      </w:r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22 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Рекомендации по оценке возможности использования водоемов для промысла и разведения речных раков //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</w:rPr>
        <w:t>ГосНИОРХ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СПб, 2002, 31 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Руководство по гидробиологическому мониторингу пресноводных экосистем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 / П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од ред. В.А. Абакумова. – СПб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AA61C8">
        <w:rPr>
          <w:rFonts w:ascii="Times New Roman" w:eastAsia="SimSun" w:hAnsi="Times New Roman" w:cs="Times New Roman"/>
          <w:sz w:val="28"/>
          <w:szCs w:val="28"/>
        </w:rPr>
        <w:t>Гидрометеоиздат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>, 1992. – 319 с.</w:t>
      </w:r>
    </w:p>
    <w:p w:rsidR="006B18C5" w:rsidRPr="00AA61C8" w:rsidRDefault="006B18C5" w:rsidP="00C9121F">
      <w:pPr>
        <w:numPr>
          <w:ilvl w:val="0"/>
          <w:numId w:val="1"/>
        </w:numPr>
        <w:suppressAutoHyphens/>
        <w:spacing w:after="0" w:line="360" w:lineRule="auto"/>
        <w:ind w:left="928"/>
        <w:jc w:val="both"/>
        <w:rPr>
          <w:rFonts w:ascii="Times New Roman" w:eastAsia="SimSun" w:hAnsi="Times New Roman" w:cs="Times New Roman"/>
          <w:spacing w:val="2"/>
          <w:sz w:val="28"/>
          <w:szCs w:val="28"/>
        </w:rPr>
      </w:pPr>
      <w:r w:rsidRPr="00AA61C8">
        <w:rPr>
          <w:rFonts w:ascii="Times New Roman" w:eastAsia="SimSun" w:hAnsi="Times New Roman" w:cs="Times New Roman"/>
          <w:spacing w:val="2"/>
          <w:sz w:val="28"/>
          <w:szCs w:val="28"/>
        </w:rPr>
        <w:t xml:space="preserve">Технический регламент Таможенного союза «О безопасности пищевой продукции» (с изменениями на 8 августа 2019 г.).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Утвержден решением Комиссии Таможенного союза от 9 декабря 2011 г. N880. </w:t>
      </w:r>
      <w:r w:rsidRPr="00AA61C8">
        <w:rPr>
          <w:rFonts w:ascii="Times New Roman" w:eastAsia="SimSun" w:hAnsi="Times New Roman" w:cs="Times New Roman"/>
          <w:spacing w:val="2"/>
          <w:sz w:val="28"/>
          <w:szCs w:val="28"/>
        </w:rPr>
        <w:t xml:space="preserve">http://docs.cntd.ru/document/902320560 (дата обращения 23.12.2023), </w:t>
      </w:r>
      <w:proofErr w:type="gramStart"/>
      <w:r w:rsidRPr="00AA61C8">
        <w:rPr>
          <w:rFonts w:ascii="Times New Roman" w:eastAsia="SimSun" w:hAnsi="Times New Roman" w:cs="Times New Roman"/>
          <w:spacing w:val="2"/>
          <w:sz w:val="28"/>
          <w:szCs w:val="28"/>
        </w:rPr>
        <w:t>ТР</w:t>
      </w:r>
      <w:proofErr w:type="gramEnd"/>
      <w:r w:rsidRPr="00AA61C8">
        <w:rPr>
          <w:rFonts w:ascii="Times New Roman" w:eastAsia="SimSun" w:hAnsi="Times New Roman" w:cs="Times New Roman"/>
          <w:spacing w:val="2"/>
          <w:sz w:val="28"/>
          <w:szCs w:val="28"/>
        </w:rPr>
        <w:t xml:space="preserve"> ТС 021/2011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A61C8">
        <w:rPr>
          <w:rFonts w:ascii="Times New Roman" w:eastAsia="SimSun" w:hAnsi="Times New Roman" w:cs="Times New Roman"/>
          <w:sz w:val="28"/>
          <w:szCs w:val="28"/>
        </w:rPr>
        <w:t>Черкашина Н. Я. Сборник инструкций по культивированию раков и динамике их популяций// ФГУП «АзНИИРХ», Ростов-на-Дону, 2007, 117 с.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Carvalho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F., Winker H., Courtney D.,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Kapur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M., et al. A cookbook for using model diagnostics in integrated stock assessments// Fisheries Research. </w:t>
      </w:r>
      <w:r w:rsidRPr="00AA61C8">
        <w:rPr>
          <w:rFonts w:ascii="Times New Roman" w:eastAsia="SimSun" w:hAnsi="Times New Roman" w:cs="Times New Roman"/>
          <w:sz w:val="28"/>
          <w:szCs w:val="28"/>
        </w:rPr>
        <w:t xml:space="preserve">2021.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Vol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</w:rPr>
        <w:t xml:space="preserve">. 240. 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</w:t>
      </w:r>
      <w:r w:rsidRPr="00AA61C8">
        <w:rPr>
          <w:rFonts w:ascii="Times New Roman" w:eastAsia="SimSun" w:hAnsi="Times New Roman" w:cs="Times New Roman"/>
          <w:sz w:val="28"/>
          <w:szCs w:val="28"/>
        </w:rPr>
        <w:t>. 105959.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Mohn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R. The retrospective problem in sequential population analysis: An investigation using cod fishery and simulated data // ICES Journal of Marine Science. -1999. - Vol. 56. -Issue 4. -PP. 473–488.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lastRenderedPageBreak/>
        <w:t>Mourato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B. Winker L.,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Carvalho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F., Ortiz M. Stock Assessment of Atlantic blue marlin (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Makaira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nigricans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) using a Bayesian State-Space Surplus Production Model JABBA //Collect. Vol. Sci. Pap. ICCAT. – 2018. – Vol. 75. – Issue 5. – P. 1003-1025.</w:t>
      </w:r>
    </w:p>
    <w:p w:rsidR="006B18C5" w:rsidRPr="00AA61C8" w:rsidRDefault="006B18C5" w:rsidP="00C9121F">
      <w:p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Link: </w:t>
      </w:r>
      <w:hyperlink r:id="rId67" w:tgtFrame="_blank" w:history="1">
        <w:r w:rsidRPr="00AA61C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https://www.iccat.int/Documents/CVSP/CV075_2018/n_5/CV075051003.pdf</w:t>
        </w:r>
      </w:hyperlink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Musick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J. A. Criteria to define extinction risk in marine fishes: the American Fisheries Society initiative // Fisheries. – 1999. – Vol. 24. – Issue 12. – P. 6-14.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Deval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M.C., Bok T.,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Ateş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C.,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Tosunoğlu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Z. </w:t>
      </w:r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 xml:space="preserve">Length-based estimates of growth parameters, mortality rates, and recruitment of </w:t>
      </w:r>
      <w:proofErr w:type="spellStart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>Astacus</w:t>
      </w:r>
      <w:proofErr w:type="spellEnd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>leptodactylus</w:t>
      </w:r>
      <w:proofErr w:type="spellEnd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 xml:space="preserve"> (</w:t>
      </w:r>
      <w:proofErr w:type="spellStart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>Eschscholtz</w:t>
      </w:r>
      <w:proofErr w:type="spellEnd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>, 1823) (</w:t>
      </w:r>
      <w:proofErr w:type="spellStart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>Decapoda</w:t>
      </w:r>
      <w:proofErr w:type="spellEnd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 xml:space="preserve">, </w:t>
      </w:r>
      <w:proofErr w:type="spellStart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>Astacidae</w:t>
      </w:r>
      <w:proofErr w:type="spellEnd"/>
      <w:r w:rsidRPr="00AA61C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en-US" w:eastAsia="ru-RU"/>
        </w:rPr>
        <w:t xml:space="preserve">) in unexploited inland waters of the northern Marmara region, European Turkey // J.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Crustaceana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V. 80 (6). 2007, p. 655-665.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Pedersen M. W., Berg C. W. A stochastic surplus production model in continuous time //Fish and Fisheries. 2017. Vol. 18. Issue 2. P. 226-243.</w:t>
      </w:r>
    </w:p>
    <w:p w:rsidR="006B18C5" w:rsidRPr="00AA61C8" w:rsidRDefault="006B18C5" w:rsidP="00C9121F">
      <w:pPr>
        <w:numPr>
          <w:ilvl w:val="0"/>
          <w:numId w:val="1"/>
        </w:num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Sant</w:t>
      </w:r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’Ana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R.,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Mourato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B., Kimoto A., Walter J., Winker H</w:t>
      </w:r>
      <w:proofErr w:type="gram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</w:t>
      </w:r>
      <w:proofErr w:type="gram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Atlantic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Yellowfin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tuna stock assessment: An Implementation of a Bayesian State-Space Surplus Production Model using JABBA//Col. Vol. Sci. Pap. ICCAT. – 2020. – Vol. 76. – Issue 6. – P. 699-724.  </w:t>
      </w:r>
    </w:p>
    <w:p w:rsidR="006B18C5" w:rsidRPr="00AA61C8" w:rsidRDefault="006B18C5" w:rsidP="00C9121F">
      <w:pPr>
        <w:spacing w:after="0" w:line="360" w:lineRule="auto"/>
        <w:ind w:left="928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Link: </w:t>
      </w:r>
      <w:hyperlink r:id="rId68" w:tgtFrame="_blank" w:history="1">
        <w:r w:rsidRPr="00AA61C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://www.researchgate.net/profile/Bruno-Mourato/publication/339723561_ATLANTIC_YELLOWFIN_TUNA_STOCK_ASSESSMENT_AN_IMPLEMENTATION_OF_BAYESIAN_STATE-SPACE_SURPLUS_PRODUCTION_MODEL_USING_JABBA/links/5e612515458515163551c94f/ATLANTIC-YELLOWFIN-TUNA-STOCK-ASSESSMENT-AN-IMPLEMENTATION-OF-BAYESIAN-STATE-SPACE-SURPLUS-PRODUCTION-MODEL-USING-JABBA.pdf</w:t>
        </w:r>
      </w:hyperlink>
    </w:p>
    <w:p w:rsidR="006B18C5" w:rsidRPr="00AA61C8" w:rsidRDefault="006B18C5" w:rsidP="006A05CA">
      <w:pPr>
        <w:numPr>
          <w:ilvl w:val="0"/>
          <w:numId w:val="1"/>
        </w:numPr>
        <w:shd w:val="clear" w:color="auto" w:fill="FFFFFF"/>
        <w:spacing w:after="0" w:line="360" w:lineRule="auto"/>
        <w:ind w:left="924" w:hanging="357"/>
        <w:jc w:val="both"/>
        <w:rPr>
          <w:rFonts w:ascii="Times New Roman" w:eastAsia="SimSun" w:hAnsi="Times New Roman" w:cs="Times New Roman"/>
          <w:sz w:val="28"/>
          <w:szCs w:val="28"/>
          <w:lang w:val="en-US" w:eastAsia="ru-RU"/>
        </w:rPr>
      </w:pPr>
      <w:bookmarkStart w:id="26" w:name="_Hlk98405655"/>
      <w:r w:rsidRPr="00AA61C8">
        <w:rPr>
          <w:rFonts w:ascii="Times New Roman" w:eastAsia="SimSun" w:hAnsi="Times New Roman" w:cs="Times New Roman"/>
          <w:sz w:val="28"/>
          <w:szCs w:val="28"/>
          <w:lang w:val="en-US" w:eastAsia="ru-RU"/>
        </w:rPr>
        <w:lastRenderedPageBreak/>
        <w:t>Wi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nker H.,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Carvalho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Kapur</w:t>
      </w:r>
      <w:proofErr w:type="spell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M. JABBA: Just 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Another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Bayesian Biomass Assessment // Fisheries research. 2018</w:t>
      </w:r>
      <w:proofErr w:type="gramStart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>.Vol</w:t>
      </w:r>
      <w:proofErr w:type="gramEnd"/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204. P. 275-288.</w:t>
      </w:r>
    </w:p>
    <w:p w:rsidR="006B18C5" w:rsidRPr="00AA61C8" w:rsidRDefault="006B18C5" w:rsidP="006A05CA">
      <w:pPr>
        <w:numPr>
          <w:ilvl w:val="0"/>
          <w:numId w:val="1"/>
        </w:numPr>
        <w:shd w:val="clear" w:color="auto" w:fill="FFFFFF"/>
        <w:spacing w:after="0" w:line="360" w:lineRule="auto"/>
        <w:ind w:left="924" w:hanging="357"/>
        <w:jc w:val="both"/>
        <w:rPr>
          <w:rFonts w:ascii="Times New Roman" w:eastAsia="SimSun" w:hAnsi="Times New Roman" w:cs="Times New Roman"/>
          <w:sz w:val="28"/>
          <w:szCs w:val="28"/>
          <w:lang w:val="en-US" w:eastAsia="ru-RU"/>
        </w:rPr>
      </w:pPr>
      <w:r w:rsidRPr="00AA61C8">
        <w:rPr>
          <w:rFonts w:ascii="Times New Roman" w:eastAsia="SimSun" w:hAnsi="Times New Roman" w:cs="Times New Roman"/>
          <w:sz w:val="28"/>
          <w:szCs w:val="28"/>
          <w:lang w:val="en-US" w:eastAsia="ru-RU"/>
        </w:rPr>
        <w:t>Wi</w:t>
      </w:r>
      <w:r w:rsidRPr="00AA61C8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nker H. </w:t>
      </w:r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et al. Bayesian State-space surplus production model JABBA assessment of Atlantic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Bigeye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tuna (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Thunnus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obesus</w:t>
      </w:r>
      <w:proofErr w:type="spellEnd"/>
      <w:r w:rsidRPr="00AA6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Stock //Collect. Vol. Sci. Pap. ICCAT. – 2019. – Vol. 75. – Issue 7. – P. 2129-2168.</w:t>
      </w:r>
    </w:p>
    <w:p w:rsidR="006B18C5" w:rsidRPr="00AA61C8" w:rsidRDefault="006B18C5" w:rsidP="006A05CA">
      <w:pPr>
        <w:numPr>
          <w:ilvl w:val="0"/>
          <w:numId w:val="1"/>
        </w:numPr>
        <w:shd w:val="clear" w:color="auto" w:fill="FFFFFF"/>
        <w:spacing w:after="0" w:line="360" w:lineRule="auto"/>
        <w:ind w:left="924" w:hanging="35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ru-RU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[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Электронный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ресурс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] URL: http://www.pogodaiklimat.ru (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Дата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обращения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: 11.01.2023-31.12.2023)</w:t>
      </w:r>
    </w:p>
    <w:p w:rsidR="006B18C5" w:rsidRPr="00AA61C8" w:rsidRDefault="006B18C5" w:rsidP="006A05CA">
      <w:pPr>
        <w:numPr>
          <w:ilvl w:val="0"/>
          <w:numId w:val="1"/>
        </w:numPr>
        <w:shd w:val="clear" w:color="auto" w:fill="FFFFFF"/>
        <w:spacing w:after="0" w:line="360" w:lineRule="auto"/>
        <w:ind w:left="924" w:hanging="357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bookmarkStart w:id="27" w:name="_Hlk95987433"/>
      <w:bookmarkEnd w:id="26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[</w:t>
      </w:r>
      <w:bookmarkEnd w:id="27"/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Электронный ресурс] –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URL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: https://pogoda.turtella.ru (Дата обращения: 11.01.2023-31.12.2023)</w:t>
      </w:r>
    </w:p>
    <w:p w:rsidR="006B18C5" w:rsidRPr="00AA61C8" w:rsidRDefault="006B18C5" w:rsidP="006A05CA">
      <w:pPr>
        <w:numPr>
          <w:ilvl w:val="0"/>
          <w:numId w:val="1"/>
        </w:numPr>
        <w:shd w:val="clear" w:color="auto" w:fill="FFFFFF"/>
        <w:spacing w:after="0" w:line="360" w:lineRule="auto"/>
        <w:ind w:left="924" w:hanging="498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[Электронный ресурс] –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URL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: http://www.donbvu.ru (Дата обращения: 11.01.2023-31.12.2023)</w:t>
      </w:r>
    </w:p>
    <w:p w:rsidR="00402C85" w:rsidRPr="00AA61C8" w:rsidRDefault="006B18C5" w:rsidP="006A05CA">
      <w:pPr>
        <w:numPr>
          <w:ilvl w:val="0"/>
          <w:numId w:val="1"/>
        </w:numPr>
        <w:shd w:val="clear" w:color="auto" w:fill="FFFFFF"/>
        <w:spacing w:after="0" w:line="360" w:lineRule="auto"/>
        <w:ind w:left="924" w:right="141" w:hanging="498"/>
        <w:jc w:val="both"/>
        <w:rPr>
          <w:sz w:val="28"/>
          <w:szCs w:val="28"/>
        </w:rPr>
      </w:pP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[Электронный ресурс] – 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URL</w:t>
      </w:r>
      <w:r w:rsidRPr="00AA61C8">
        <w:rPr>
          <w:rFonts w:ascii="Times New Roman" w:eastAsia="SimSun" w:hAnsi="Times New Roman" w:cs="Times New Roman"/>
          <w:color w:val="000000"/>
          <w:sz w:val="28"/>
          <w:szCs w:val="28"/>
        </w:rPr>
        <w:t>: «Бюллетень» (№ 01-12/291-302) Северо-Кавказского управления по гидрометеорологии и мониторингу окружающей среды (СК УГМС) https://yugmeteo.donpac.ru/weather (Дата обращения: 11.01.2023-31.12.2023)</w:t>
      </w:r>
    </w:p>
    <w:sectPr w:rsidR="00402C85" w:rsidRPr="00AA61C8" w:rsidSect="00644B05">
      <w:footerReference w:type="default" r:id="rId6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719" w:rsidRDefault="00F32719" w:rsidP="00644B05">
      <w:pPr>
        <w:spacing w:after="0" w:line="240" w:lineRule="auto"/>
      </w:pPr>
      <w:r>
        <w:separator/>
      </w:r>
    </w:p>
  </w:endnote>
  <w:endnote w:type="continuationSeparator" w:id="0">
    <w:p w:rsidR="00F32719" w:rsidRDefault="00F32719" w:rsidP="0064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8343148"/>
      <w:docPartObj>
        <w:docPartGallery w:val="Page Numbers (Bottom of Page)"/>
        <w:docPartUnique/>
      </w:docPartObj>
    </w:sdtPr>
    <w:sdtEndPr/>
    <w:sdtContent>
      <w:p w:rsidR="00F32719" w:rsidRDefault="00F3271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4CF">
          <w:rPr>
            <w:noProof/>
          </w:rPr>
          <w:t>2</w:t>
        </w:r>
        <w:r>
          <w:fldChar w:fldCharType="end"/>
        </w:r>
      </w:p>
    </w:sdtContent>
  </w:sdt>
  <w:p w:rsidR="00F32719" w:rsidRDefault="00F3271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719" w:rsidRDefault="00F32719" w:rsidP="00644B05">
      <w:pPr>
        <w:spacing w:after="0" w:line="240" w:lineRule="auto"/>
      </w:pPr>
      <w:r>
        <w:separator/>
      </w:r>
    </w:p>
  </w:footnote>
  <w:footnote w:type="continuationSeparator" w:id="0">
    <w:p w:rsidR="00F32719" w:rsidRDefault="00F32719" w:rsidP="00644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413A7"/>
    <w:multiLevelType w:val="multilevel"/>
    <w:tmpl w:val="316413A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305F8"/>
    <w:multiLevelType w:val="hybridMultilevel"/>
    <w:tmpl w:val="F154C976"/>
    <w:lvl w:ilvl="0" w:tplc="532C56B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85"/>
    <w:rsid w:val="00026507"/>
    <w:rsid w:val="00035BBD"/>
    <w:rsid w:val="00060132"/>
    <w:rsid w:val="00093055"/>
    <w:rsid w:val="000B4B38"/>
    <w:rsid w:val="000B5F11"/>
    <w:rsid w:val="000B6BE0"/>
    <w:rsid w:val="000C06AF"/>
    <w:rsid w:val="000C3D9C"/>
    <w:rsid w:val="000D147A"/>
    <w:rsid w:val="000D1B6E"/>
    <w:rsid w:val="000E062E"/>
    <w:rsid w:val="000E447A"/>
    <w:rsid w:val="00104EEC"/>
    <w:rsid w:val="00121394"/>
    <w:rsid w:val="0013551A"/>
    <w:rsid w:val="00136FF4"/>
    <w:rsid w:val="00147053"/>
    <w:rsid w:val="001614D6"/>
    <w:rsid w:val="0016190C"/>
    <w:rsid w:val="001E2C9A"/>
    <w:rsid w:val="001F1F47"/>
    <w:rsid w:val="00201CAF"/>
    <w:rsid w:val="00222673"/>
    <w:rsid w:val="00255544"/>
    <w:rsid w:val="002835AE"/>
    <w:rsid w:val="002B1B46"/>
    <w:rsid w:val="002D4E26"/>
    <w:rsid w:val="00312D43"/>
    <w:rsid w:val="003344C1"/>
    <w:rsid w:val="00377DE5"/>
    <w:rsid w:val="003B3A2D"/>
    <w:rsid w:val="003C3232"/>
    <w:rsid w:val="003C4BB5"/>
    <w:rsid w:val="003D7515"/>
    <w:rsid w:val="003E25BC"/>
    <w:rsid w:val="00400606"/>
    <w:rsid w:val="00402019"/>
    <w:rsid w:val="00402C85"/>
    <w:rsid w:val="00454B34"/>
    <w:rsid w:val="004552B6"/>
    <w:rsid w:val="0047430C"/>
    <w:rsid w:val="00475C45"/>
    <w:rsid w:val="004A48FF"/>
    <w:rsid w:val="004B0AD9"/>
    <w:rsid w:val="004F2849"/>
    <w:rsid w:val="00501C1F"/>
    <w:rsid w:val="005228EE"/>
    <w:rsid w:val="0052630A"/>
    <w:rsid w:val="00526830"/>
    <w:rsid w:val="00530CD1"/>
    <w:rsid w:val="005600F6"/>
    <w:rsid w:val="00560A9B"/>
    <w:rsid w:val="005A452A"/>
    <w:rsid w:val="005D437E"/>
    <w:rsid w:val="0060327A"/>
    <w:rsid w:val="00611721"/>
    <w:rsid w:val="006132F4"/>
    <w:rsid w:val="00634963"/>
    <w:rsid w:val="00644B05"/>
    <w:rsid w:val="006646F5"/>
    <w:rsid w:val="00675B07"/>
    <w:rsid w:val="006A05CA"/>
    <w:rsid w:val="006B18C5"/>
    <w:rsid w:val="006C0C84"/>
    <w:rsid w:val="006C434D"/>
    <w:rsid w:val="006F78EA"/>
    <w:rsid w:val="00700530"/>
    <w:rsid w:val="007039D8"/>
    <w:rsid w:val="00705AC1"/>
    <w:rsid w:val="00722E82"/>
    <w:rsid w:val="00724830"/>
    <w:rsid w:val="007A54DC"/>
    <w:rsid w:val="007D1911"/>
    <w:rsid w:val="007E025E"/>
    <w:rsid w:val="008203EB"/>
    <w:rsid w:val="00827E5A"/>
    <w:rsid w:val="00834AD7"/>
    <w:rsid w:val="00841AF4"/>
    <w:rsid w:val="00841C7D"/>
    <w:rsid w:val="00855D27"/>
    <w:rsid w:val="00866585"/>
    <w:rsid w:val="0087666C"/>
    <w:rsid w:val="00883669"/>
    <w:rsid w:val="00890A8D"/>
    <w:rsid w:val="008A1959"/>
    <w:rsid w:val="008A7853"/>
    <w:rsid w:val="008B39A6"/>
    <w:rsid w:val="008C5300"/>
    <w:rsid w:val="008F22D4"/>
    <w:rsid w:val="00924A89"/>
    <w:rsid w:val="009267B9"/>
    <w:rsid w:val="009863F5"/>
    <w:rsid w:val="0099608F"/>
    <w:rsid w:val="009C69CE"/>
    <w:rsid w:val="009D3785"/>
    <w:rsid w:val="00A00EFC"/>
    <w:rsid w:val="00AA2ECC"/>
    <w:rsid w:val="00AA61C8"/>
    <w:rsid w:val="00AA6936"/>
    <w:rsid w:val="00AD713A"/>
    <w:rsid w:val="00AE2E47"/>
    <w:rsid w:val="00AF6EBF"/>
    <w:rsid w:val="00B33463"/>
    <w:rsid w:val="00B6712C"/>
    <w:rsid w:val="00B91BD5"/>
    <w:rsid w:val="00B96D0C"/>
    <w:rsid w:val="00BB3CC6"/>
    <w:rsid w:val="00BD55F3"/>
    <w:rsid w:val="00BF14D4"/>
    <w:rsid w:val="00C313DE"/>
    <w:rsid w:val="00C32754"/>
    <w:rsid w:val="00C401DE"/>
    <w:rsid w:val="00C447C2"/>
    <w:rsid w:val="00C803A0"/>
    <w:rsid w:val="00C9121F"/>
    <w:rsid w:val="00C9549B"/>
    <w:rsid w:val="00CA01C8"/>
    <w:rsid w:val="00CC64CF"/>
    <w:rsid w:val="00CD6370"/>
    <w:rsid w:val="00D248FD"/>
    <w:rsid w:val="00D33168"/>
    <w:rsid w:val="00D53B5B"/>
    <w:rsid w:val="00D55702"/>
    <w:rsid w:val="00D85128"/>
    <w:rsid w:val="00D91CA8"/>
    <w:rsid w:val="00DD556E"/>
    <w:rsid w:val="00DE4B96"/>
    <w:rsid w:val="00E20CBF"/>
    <w:rsid w:val="00E429CC"/>
    <w:rsid w:val="00E45F2D"/>
    <w:rsid w:val="00E62DDB"/>
    <w:rsid w:val="00E93680"/>
    <w:rsid w:val="00EB1C25"/>
    <w:rsid w:val="00EB3487"/>
    <w:rsid w:val="00EB43BB"/>
    <w:rsid w:val="00EB4CE6"/>
    <w:rsid w:val="00EB7792"/>
    <w:rsid w:val="00EC2AAD"/>
    <w:rsid w:val="00ED68D7"/>
    <w:rsid w:val="00F13701"/>
    <w:rsid w:val="00F31DD9"/>
    <w:rsid w:val="00F32719"/>
    <w:rsid w:val="00F6429B"/>
    <w:rsid w:val="00F66F47"/>
    <w:rsid w:val="00F83845"/>
    <w:rsid w:val="00F86DF5"/>
    <w:rsid w:val="00FA695E"/>
    <w:rsid w:val="00FB3F6D"/>
    <w:rsid w:val="00FC5901"/>
    <w:rsid w:val="00FE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D5"/>
  </w:style>
  <w:style w:type="paragraph" w:styleId="2">
    <w:name w:val="heading 2"/>
    <w:basedOn w:val="a"/>
    <w:next w:val="a"/>
    <w:link w:val="20"/>
    <w:uiPriority w:val="9"/>
    <w:qFormat/>
    <w:rsid w:val="00402C85"/>
    <w:pPr>
      <w:keepNext/>
      <w:spacing w:before="240" w:after="60" w:line="276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02C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qFormat/>
    <w:rsid w:val="00402C8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402C85"/>
  </w:style>
  <w:style w:type="paragraph" w:styleId="a4">
    <w:name w:val="Balloon Text"/>
    <w:basedOn w:val="a"/>
    <w:link w:val="a5"/>
    <w:uiPriority w:val="99"/>
    <w:unhideWhenUsed/>
    <w:qFormat/>
    <w:rsid w:val="00402C85"/>
    <w:pPr>
      <w:spacing w:after="0" w:line="240" w:lineRule="auto"/>
    </w:pPr>
    <w:rPr>
      <w:rFonts w:ascii="Tahoma" w:eastAsia="SimSun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qFormat/>
    <w:rsid w:val="00402C85"/>
    <w:rPr>
      <w:rFonts w:ascii="Tahoma" w:eastAsia="SimSun" w:hAnsi="Tahoma" w:cs="Times New Roman"/>
      <w:sz w:val="16"/>
      <w:szCs w:val="16"/>
    </w:rPr>
  </w:style>
  <w:style w:type="paragraph" w:styleId="a6">
    <w:name w:val="Body Text"/>
    <w:basedOn w:val="a"/>
    <w:link w:val="a7"/>
    <w:uiPriority w:val="99"/>
    <w:unhideWhenUsed/>
    <w:qFormat/>
    <w:rsid w:val="00402C85"/>
    <w:pPr>
      <w:spacing w:after="120" w:line="276" w:lineRule="auto"/>
    </w:pPr>
    <w:rPr>
      <w:rFonts w:ascii="Times New Roman" w:eastAsia="SimSun" w:hAnsi="Times New Roman" w:cs="Times New Roman"/>
    </w:rPr>
  </w:style>
  <w:style w:type="character" w:customStyle="1" w:styleId="a7">
    <w:name w:val="Основной текст Знак"/>
    <w:basedOn w:val="a0"/>
    <w:link w:val="a6"/>
    <w:uiPriority w:val="99"/>
    <w:qFormat/>
    <w:rsid w:val="00402C85"/>
    <w:rPr>
      <w:rFonts w:ascii="Times New Roman" w:eastAsia="SimSun" w:hAnsi="Times New Roman" w:cs="Times New Roman"/>
    </w:rPr>
  </w:style>
  <w:style w:type="paragraph" w:styleId="a8">
    <w:name w:val="Body Text Indent"/>
    <w:basedOn w:val="a"/>
    <w:link w:val="a9"/>
    <w:uiPriority w:val="99"/>
    <w:unhideWhenUsed/>
    <w:qFormat/>
    <w:rsid w:val="00402C85"/>
    <w:pPr>
      <w:spacing w:after="120" w:line="276" w:lineRule="auto"/>
      <w:ind w:left="283"/>
    </w:pPr>
    <w:rPr>
      <w:rFonts w:ascii="Times New Roman" w:eastAsia="SimSun" w:hAnsi="Times New Roman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qFormat/>
    <w:rsid w:val="00402C85"/>
    <w:rPr>
      <w:rFonts w:ascii="Times New Roman" w:eastAsia="SimSun" w:hAnsi="Times New Roman" w:cs="Times New Roman"/>
    </w:rPr>
  </w:style>
  <w:style w:type="paragraph" w:styleId="21">
    <w:name w:val="Body Text Indent 2"/>
    <w:basedOn w:val="a"/>
    <w:link w:val="22"/>
    <w:uiPriority w:val="99"/>
    <w:unhideWhenUsed/>
    <w:qFormat/>
    <w:rsid w:val="00402C85"/>
    <w:pPr>
      <w:spacing w:after="120" w:line="480" w:lineRule="auto"/>
      <w:ind w:left="283"/>
    </w:pPr>
    <w:rPr>
      <w:rFonts w:ascii="Times New Roman" w:eastAsia="SimSu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qFormat/>
    <w:rsid w:val="00402C85"/>
    <w:rPr>
      <w:rFonts w:ascii="Times New Roman" w:eastAsia="SimSun" w:hAnsi="Times New Roman" w:cs="Times New Roman"/>
      <w:sz w:val="20"/>
      <w:szCs w:val="20"/>
    </w:rPr>
  </w:style>
  <w:style w:type="character" w:styleId="aa">
    <w:name w:val="annotation reference"/>
    <w:uiPriority w:val="99"/>
    <w:unhideWhenUsed/>
    <w:qFormat/>
    <w:rsid w:val="00402C85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qFormat/>
    <w:rsid w:val="00402C85"/>
    <w:pPr>
      <w:spacing w:after="200" w:line="276" w:lineRule="auto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qFormat/>
    <w:rsid w:val="00402C85"/>
    <w:rPr>
      <w:rFonts w:ascii="Times New Roman" w:eastAsia="SimSu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unhideWhenUsed/>
    <w:qFormat/>
    <w:rsid w:val="00402C8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qFormat/>
    <w:rsid w:val="00402C85"/>
    <w:rPr>
      <w:rFonts w:ascii="Times New Roman" w:eastAsia="SimSun" w:hAnsi="Times New Roman" w:cs="Times New Roman"/>
      <w:b/>
      <w:bCs/>
      <w:sz w:val="20"/>
      <w:szCs w:val="20"/>
    </w:rPr>
  </w:style>
  <w:style w:type="character" w:styleId="af">
    <w:name w:val="FollowedHyperlink"/>
    <w:uiPriority w:val="99"/>
    <w:unhideWhenUsed/>
    <w:qFormat/>
    <w:rsid w:val="00402C85"/>
    <w:rPr>
      <w:color w:val="800080"/>
      <w:u w:val="single"/>
    </w:rPr>
  </w:style>
  <w:style w:type="paragraph" w:styleId="af0">
    <w:name w:val="footer"/>
    <w:basedOn w:val="a"/>
    <w:link w:val="af1"/>
    <w:uiPriority w:val="99"/>
    <w:unhideWhenUsed/>
    <w:qFormat/>
    <w:rsid w:val="00402C8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SimSun" w:hAnsi="Times New Roman" w:cs="Times New Roman"/>
    </w:rPr>
  </w:style>
  <w:style w:type="character" w:customStyle="1" w:styleId="af1">
    <w:name w:val="Нижний колонтитул Знак"/>
    <w:basedOn w:val="a0"/>
    <w:link w:val="af0"/>
    <w:uiPriority w:val="99"/>
    <w:qFormat/>
    <w:rsid w:val="00402C85"/>
    <w:rPr>
      <w:rFonts w:ascii="Times New Roman" w:eastAsia="SimSun" w:hAnsi="Times New Roman" w:cs="Times New Roman"/>
    </w:rPr>
  </w:style>
  <w:style w:type="paragraph" w:styleId="af2">
    <w:name w:val="header"/>
    <w:basedOn w:val="a"/>
    <w:link w:val="af3"/>
    <w:uiPriority w:val="99"/>
    <w:unhideWhenUsed/>
    <w:qFormat/>
    <w:rsid w:val="00402C8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SimSun" w:hAnsi="Times New Roman" w:cs="Times New Roman"/>
    </w:rPr>
  </w:style>
  <w:style w:type="character" w:customStyle="1" w:styleId="af3">
    <w:name w:val="Верхний колонтитул Знак"/>
    <w:basedOn w:val="a0"/>
    <w:link w:val="af2"/>
    <w:uiPriority w:val="99"/>
    <w:qFormat/>
    <w:rsid w:val="00402C85"/>
    <w:rPr>
      <w:rFonts w:ascii="Times New Roman" w:eastAsia="SimSun" w:hAnsi="Times New Roman" w:cs="Times New Roman"/>
    </w:rPr>
  </w:style>
  <w:style w:type="character" w:styleId="af4">
    <w:name w:val="Hyperlink"/>
    <w:uiPriority w:val="99"/>
    <w:unhideWhenUsed/>
    <w:qFormat/>
    <w:rsid w:val="00402C85"/>
    <w:rPr>
      <w:color w:val="0000FF"/>
      <w:u w:val="single"/>
    </w:rPr>
  </w:style>
  <w:style w:type="paragraph" w:styleId="af5">
    <w:name w:val="Normal (Web)"/>
    <w:basedOn w:val="a"/>
    <w:uiPriority w:val="99"/>
    <w:unhideWhenUsed/>
    <w:qFormat/>
    <w:rsid w:val="00402C85"/>
    <w:pPr>
      <w:spacing w:after="200" w:line="276" w:lineRule="auto"/>
    </w:pPr>
    <w:rPr>
      <w:rFonts w:ascii="Times New Roman" w:eastAsia="SimSu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3"/>
    <w:qFormat/>
    <w:rsid w:val="00402C8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402C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">
    <w:name w:val="Основной текст (3)_"/>
    <w:link w:val="30"/>
    <w:uiPriority w:val="99"/>
    <w:qFormat/>
    <w:locked/>
    <w:rsid w:val="00402C85"/>
    <w:rPr>
      <w:rFonts w:cs="Calibri"/>
      <w:sz w:val="16"/>
      <w:szCs w:val="16"/>
      <w:shd w:val="clear" w:color="auto" w:fill="FFFFFF"/>
      <w:lang w:val="en-US"/>
    </w:rPr>
  </w:style>
  <w:style w:type="paragraph" w:customStyle="1" w:styleId="30">
    <w:name w:val="Основной текст (3)"/>
    <w:basedOn w:val="a"/>
    <w:link w:val="3"/>
    <w:uiPriority w:val="99"/>
    <w:qFormat/>
    <w:rsid w:val="00402C85"/>
    <w:pPr>
      <w:widowControl w:val="0"/>
      <w:shd w:val="clear" w:color="auto" w:fill="FFFFFF"/>
      <w:spacing w:after="0" w:line="197" w:lineRule="exact"/>
      <w:jc w:val="center"/>
    </w:pPr>
    <w:rPr>
      <w:rFonts w:cs="Calibri"/>
      <w:sz w:val="16"/>
      <w:szCs w:val="16"/>
      <w:lang w:val="en-US"/>
    </w:rPr>
  </w:style>
  <w:style w:type="character" w:customStyle="1" w:styleId="31">
    <w:name w:val="Основной текст (3) + Курсив"/>
    <w:uiPriority w:val="99"/>
    <w:qFormat/>
    <w:rsid w:val="00402C85"/>
    <w:rPr>
      <w:rFonts w:ascii="Calibri" w:hAnsi="Calibri" w:cs="Calibri"/>
      <w:i/>
      <w:iCs/>
      <w:sz w:val="16"/>
      <w:szCs w:val="16"/>
      <w:u w:val="none"/>
      <w:lang w:val="en-US" w:eastAsia="en-US"/>
    </w:rPr>
  </w:style>
  <w:style w:type="character" w:customStyle="1" w:styleId="11">
    <w:name w:val="Основной текст Знак1"/>
    <w:uiPriority w:val="99"/>
    <w:qFormat/>
    <w:rsid w:val="00402C85"/>
    <w:rPr>
      <w:rFonts w:ascii="Calibri" w:hAnsi="Calibri" w:cs="Calibri"/>
      <w:sz w:val="19"/>
      <w:szCs w:val="19"/>
      <w:u w:val="none"/>
    </w:rPr>
  </w:style>
  <w:style w:type="paragraph" w:customStyle="1" w:styleId="Style31">
    <w:name w:val="_Style 31"/>
    <w:uiPriority w:val="99"/>
    <w:semiHidden/>
    <w:qFormat/>
    <w:rsid w:val="00402C85"/>
    <w:pPr>
      <w:spacing w:after="0" w:line="240" w:lineRule="auto"/>
    </w:pPr>
    <w:rPr>
      <w:rFonts w:ascii="Times New Roman" w:eastAsia="SimSun" w:hAnsi="Times New Roman" w:cs="Times New Roman"/>
    </w:rPr>
  </w:style>
  <w:style w:type="paragraph" w:customStyle="1" w:styleId="ConsPlusTitle">
    <w:name w:val="ConsPlusTitle"/>
    <w:uiPriority w:val="99"/>
    <w:qFormat/>
    <w:rsid w:val="00402C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  <w:b/>
      <w:szCs w:val="20"/>
      <w:lang w:eastAsia="ru-RU"/>
    </w:rPr>
  </w:style>
  <w:style w:type="paragraph" w:customStyle="1" w:styleId="Default">
    <w:name w:val="Default"/>
    <w:uiPriority w:val="99"/>
    <w:qFormat/>
    <w:rsid w:val="00402C85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f6">
    <w:name w:val="List Paragraph"/>
    <w:basedOn w:val="a"/>
    <w:link w:val="af7"/>
    <w:uiPriority w:val="34"/>
    <w:qFormat/>
    <w:rsid w:val="00402C85"/>
    <w:pPr>
      <w:ind w:left="720"/>
      <w:contextualSpacing/>
    </w:pPr>
    <w:rPr>
      <w:rFonts w:ascii="Times New Roman" w:eastAsia="SimSun" w:hAnsi="Times New Roman" w:cs="Times New Roman"/>
      <w:lang w:val="en-US"/>
    </w:rPr>
  </w:style>
  <w:style w:type="character" w:customStyle="1" w:styleId="af7">
    <w:name w:val="Абзац списка Знак"/>
    <w:link w:val="af6"/>
    <w:uiPriority w:val="34"/>
    <w:qFormat/>
    <w:rsid w:val="00402C85"/>
    <w:rPr>
      <w:rFonts w:ascii="Times New Roman" w:eastAsia="SimSun" w:hAnsi="Times New Roman" w:cs="Times New Roman"/>
      <w:lang w:val="en-US"/>
    </w:rPr>
  </w:style>
  <w:style w:type="paragraph" w:customStyle="1" w:styleId="BodyText211">
    <w:name w:val="Body Text 211"/>
    <w:basedOn w:val="a"/>
    <w:uiPriority w:val="99"/>
    <w:qFormat/>
    <w:rsid w:val="00402C85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 CYR" w:eastAsia="SimSun" w:hAnsi="Times New Roman CYR" w:cs="Times New Roman CYR"/>
      <w:sz w:val="24"/>
      <w:szCs w:val="20"/>
      <w:lang w:eastAsia="zh-CN"/>
    </w:rPr>
  </w:style>
  <w:style w:type="paragraph" w:customStyle="1" w:styleId="23">
    <w:name w:val="Абзац списка2"/>
    <w:basedOn w:val="a"/>
    <w:uiPriority w:val="99"/>
    <w:qFormat/>
    <w:rsid w:val="00402C85"/>
    <w:pPr>
      <w:spacing w:after="200" w:line="276" w:lineRule="auto"/>
      <w:ind w:left="720"/>
    </w:pPr>
    <w:rPr>
      <w:rFonts w:ascii="Times New Roman" w:eastAsia="Times New Roman" w:hAnsi="Times New Roman" w:cs="Times New Roman"/>
    </w:rPr>
  </w:style>
  <w:style w:type="paragraph" w:customStyle="1" w:styleId="p1">
    <w:name w:val="p1"/>
    <w:basedOn w:val="a"/>
    <w:uiPriority w:val="99"/>
    <w:qFormat/>
    <w:rsid w:val="004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qFormat/>
    <w:rsid w:val="00402C85"/>
  </w:style>
  <w:style w:type="table" w:customStyle="1" w:styleId="110">
    <w:name w:val="Сетка таблицы11"/>
    <w:basedOn w:val="a1"/>
    <w:uiPriority w:val="39"/>
    <w:qFormat/>
    <w:rsid w:val="00402C85"/>
    <w:pPr>
      <w:spacing w:after="0" w:line="240" w:lineRule="auto"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еразрешенное упоминание1"/>
    <w:uiPriority w:val="99"/>
    <w:unhideWhenUsed/>
    <w:qFormat/>
    <w:rsid w:val="00402C85"/>
    <w:rPr>
      <w:color w:val="605E5C"/>
      <w:shd w:val="clear" w:color="auto" w:fill="E1DFDD"/>
    </w:rPr>
  </w:style>
  <w:style w:type="table" w:customStyle="1" w:styleId="13">
    <w:name w:val="Сетка таблицы светлая1"/>
    <w:basedOn w:val="a1"/>
    <w:uiPriority w:val="40"/>
    <w:qFormat/>
    <w:rsid w:val="00402C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uiPriority w:val="99"/>
    <w:qFormat/>
    <w:rsid w:val="00402C85"/>
    <w:pPr>
      <w:spacing w:after="200" w:line="27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lt-edited">
    <w:name w:val="alt-edited"/>
    <w:qFormat/>
    <w:rsid w:val="00402C85"/>
  </w:style>
  <w:style w:type="table" w:customStyle="1" w:styleId="24">
    <w:name w:val="Сетка таблицы2"/>
    <w:basedOn w:val="a1"/>
    <w:uiPriority w:val="39"/>
    <w:qFormat/>
    <w:rsid w:val="00402C8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39"/>
    <w:qFormat/>
    <w:rsid w:val="00402C8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Нормальный"/>
    <w:link w:val="af9"/>
    <w:uiPriority w:val="99"/>
    <w:qFormat/>
    <w:rsid w:val="00402C85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af9">
    <w:name w:val="Нормальный Знак"/>
    <w:link w:val="af8"/>
    <w:uiPriority w:val="99"/>
    <w:qFormat/>
    <w:locked/>
    <w:rsid w:val="00402C85"/>
    <w:rPr>
      <w:rFonts w:ascii="Times New Roman" w:eastAsia="Calibri" w:hAnsi="Times New Roman" w:cs="Times New Roman"/>
      <w:lang w:eastAsia="ru-RU"/>
    </w:rPr>
  </w:style>
  <w:style w:type="table" w:customStyle="1" w:styleId="210">
    <w:name w:val="Сетка таблицы21"/>
    <w:basedOn w:val="a1"/>
    <w:next w:val="a3"/>
    <w:uiPriority w:val="39"/>
    <w:qFormat/>
    <w:rsid w:val="00402C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qFormat/>
    <w:rsid w:val="00402C8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qFormat/>
    <w:rsid w:val="006646F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B6BE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D5"/>
  </w:style>
  <w:style w:type="paragraph" w:styleId="2">
    <w:name w:val="heading 2"/>
    <w:basedOn w:val="a"/>
    <w:next w:val="a"/>
    <w:link w:val="20"/>
    <w:uiPriority w:val="9"/>
    <w:qFormat/>
    <w:rsid w:val="00402C85"/>
    <w:pPr>
      <w:keepNext/>
      <w:spacing w:before="240" w:after="60" w:line="276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02C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qFormat/>
    <w:rsid w:val="00402C8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402C85"/>
  </w:style>
  <w:style w:type="paragraph" w:styleId="a4">
    <w:name w:val="Balloon Text"/>
    <w:basedOn w:val="a"/>
    <w:link w:val="a5"/>
    <w:uiPriority w:val="99"/>
    <w:unhideWhenUsed/>
    <w:qFormat/>
    <w:rsid w:val="00402C85"/>
    <w:pPr>
      <w:spacing w:after="0" w:line="240" w:lineRule="auto"/>
    </w:pPr>
    <w:rPr>
      <w:rFonts w:ascii="Tahoma" w:eastAsia="SimSun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qFormat/>
    <w:rsid w:val="00402C85"/>
    <w:rPr>
      <w:rFonts w:ascii="Tahoma" w:eastAsia="SimSun" w:hAnsi="Tahoma" w:cs="Times New Roman"/>
      <w:sz w:val="16"/>
      <w:szCs w:val="16"/>
    </w:rPr>
  </w:style>
  <w:style w:type="paragraph" w:styleId="a6">
    <w:name w:val="Body Text"/>
    <w:basedOn w:val="a"/>
    <w:link w:val="a7"/>
    <w:uiPriority w:val="99"/>
    <w:unhideWhenUsed/>
    <w:qFormat/>
    <w:rsid w:val="00402C85"/>
    <w:pPr>
      <w:spacing w:after="120" w:line="276" w:lineRule="auto"/>
    </w:pPr>
    <w:rPr>
      <w:rFonts w:ascii="Times New Roman" w:eastAsia="SimSun" w:hAnsi="Times New Roman" w:cs="Times New Roman"/>
    </w:rPr>
  </w:style>
  <w:style w:type="character" w:customStyle="1" w:styleId="a7">
    <w:name w:val="Основной текст Знак"/>
    <w:basedOn w:val="a0"/>
    <w:link w:val="a6"/>
    <w:uiPriority w:val="99"/>
    <w:qFormat/>
    <w:rsid w:val="00402C85"/>
    <w:rPr>
      <w:rFonts w:ascii="Times New Roman" w:eastAsia="SimSun" w:hAnsi="Times New Roman" w:cs="Times New Roman"/>
    </w:rPr>
  </w:style>
  <w:style w:type="paragraph" w:styleId="a8">
    <w:name w:val="Body Text Indent"/>
    <w:basedOn w:val="a"/>
    <w:link w:val="a9"/>
    <w:uiPriority w:val="99"/>
    <w:unhideWhenUsed/>
    <w:qFormat/>
    <w:rsid w:val="00402C85"/>
    <w:pPr>
      <w:spacing w:after="120" w:line="276" w:lineRule="auto"/>
      <w:ind w:left="283"/>
    </w:pPr>
    <w:rPr>
      <w:rFonts w:ascii="Times New Roman" w:eastAsia="SimSun" w:hAnsi="Times New Roman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qFormat/>
    <w:rsid w:val="00402C85"/>
    <w:rPr>
      <w:rFonts w:ascii="Times New Roman" w:eastAsia="SimSun" w:hAnsi="Times New Roman" w:cs="Times New Roman"/>
    </w:rPr>
  </w:style>
  <w:style w:type="paragraph" w:styleId="21">
    <w:name w:val="Body Text Indent 2"/>
    <w:basedOn w:val="a"/>
    <w:link w:val="22"/>
    <w:uiPriority w:val="99"/>
    <w:unhideWhenUsed/>
    <w:qFormat/>
    <w:rsid w:val="00402C85"/>
    <w:pPr>
      <w:spacing w:after="120" w:line="480" w:lineRule="auto"/>
      <w:ind w:left="283"/>
    </w:pPr>
    <w:rPr>
      <w:rFonts w:ascii="Times New Roman" w:eastAsia="SimSu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qFormat/>
    <w:rsid w:val="00402C85"/>
    <w:rPr>
      <w:rFonts w:ascii="Times New Roman" w:eastAsia="SimSun" w:hAnsi="Times New Roman" w:cs="Times New Roman"/>
      <w:sz w:val="20"/>
      <w:szCs w:val="20"/>
    </w:rPr>
  </w:style>
  <w:style w:type="character" w:styleId="aa">
    <w:name w:val="annotation reference"/>
    <w:uiPriority w:val="99"/>
    <w:unhideWhenUsed/>
    <w:qFormat/>
    <w:rsid w:val="00402C85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qFormat/>
    <w:rsid w:val="00402C85"/>
    <w:pPr>
      <w:spacing w:after="200" w:line="276" w:lineRule="auto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qFormat/>
    <w:rsid w:val="00402C85"/>
    <w:rPr>
      <w:rFonts w:ascii="Times New Roman" w:eastAsia="SimSu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unhideWhenUsed/>
    <w:qFormat/>
    <w:rsid w:val="00402C8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qFormat/>
    <w:rsid w:val="00402C85"/>
    <w:rPr>
      <w:rFonts w:ascii="Times New Roman" w:eastAsia="SimSun" w:hAnsi="Times New Roman" w:cs="Times New Roman"/>
      <w:b/>
      <w:bCs/>
      <w:sz w:val="20"/>
      <w:szCs w:val="20"/>
    </w:rPr>
  </w:style>
  <w:style w:type="character" w:styleId="af">
    <w:name w:val="FollowedHyperlink"/>
    <w:uiPriority w:val="99"/>
    <w:unhideWhenUsed/>
    <w:qFormat/>
    <w:rsid w:val="00402C85"/>
    <w:rPr>
      <w:color w:val="800080"/>
      <w:u w:val="single"/>
    </w:rPr>
  </w:style>
  <w:style w:type="paragraph" w:styleId="af0">
    <w:name w:val="footer"/>
    <w:basedOn w:val="a"/>
    <w:link w:val="af1"/>
    <w:uiPriority w:val="99"/>
    <w:unhideWhenUsed/>
    <w:qFormat/>
    <w:rsid w:val="00402C8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SimSun" w:hAnsi="Times New Roman" w:cs="Times New Roman"/>
    </w:rPr>
  </w:style>
  <w:style w:type="character" w:customStyle="1" w:styleId="af1">
    <w:name w:val="Нижний колонтитул Знак"/>
    <w:basedOn w:val="a0"/>
    <w:link w:val="af0"/>
    <w:uiPriority w:val="99"/>
    <w:qFormat/>
    <w:rsid w:val="00402C85"/>
    <w:rPr>
      <w:rFonts w:ascii="Times New Roman" w:eastAsia="SimSun" w:hAnsi="Times New Roman" w:cs="Times New Roman"/>
    </w:rPr>
  </w:style>
  <w:style w:type="paragraph" w:styleId="af2">
    <w:name w:val="header"/>
    <w:basedOn w:val="a"/>
    <w:link w:val="af3"/>
    <w:uiPriority w:val="99"/>
    <w:unhideWhenUsed/>
    <w:qFormat/>
    <w:rsid w:val="00402C8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SimSun" w:hAnsi="Times New Roman" w:cs="Times New Roman"/>
    </w:rPr>
  </w:style>
  <w:style w:type="character" w:customStyle="1" w:styleId="af3">
    <w:name w:val="Верхний колонтитул Знак"/>
    <w:basedOn w:val="a0"/>
    <w:link w:val="af2"/>
    <w:uiPriority w:val="99"/>
    <w:qFormat/>
    <w:rsid w:val="00402C85"/>
    <w:rPr>
      <w:rFonts w:ascii="Times New Roman" w:eastAsia="SimSun" w:hAnsi="Times New Roman" w:cs="Times New Roman"/>
    </w:rPr>
  </w:style>
  <w:style w:type="character" w:styleId="af4">
    <w:name w:val="Hyperlink"/>
    <w:uiPriority w:val="99"/>
    <w:unhideWhenUsed/>
    <w:qFormat/>
    <w:rsid w:val="00402C85"/>
    <w:rPr>
      <w:color w:val="0000FF"/>
      <w:u w:val="single"/>
    </w:rPr>
  </w:style>
  <w:style w:type="paragraph" w:styleId="af5">
    <w:name w:val="Normal (Web)"/>
    <w:basedOn w:val="a"/>
    <w:uiPriority w:val="99"/>
    <w:unhideWhenUsed/>
    <w:qFormat/>
    <w:rsid w:val="00402C85"/>
    <w:pPr>
      <w:spacing w:after="200" w:line="276" w:lineRule="auto"/>
    </w:pPr>
    <w:rPr>
      <w:rFonts w:ascii="Times New Roman" w:eastAsia="SimSu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3"/>
    <w:qFormat/>
    <w:rsid w:val="00402C8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402C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">
    <w:name w:val="Основной текст (3)_"/>
    <w:link w:val="30"/>
    <w:uiPriority w:val="99"/>
    <w:qFormat/>
    <w:locked/>
    <w:rsid w:val="00402C85"/>
    <w:rPr>
      <w:rFonts w:cs="Calibri"/>
      <w:sz w:val="16"/>
      <w:szCs w:val="16"/>
      <w:shd w:val="clear" w:color="auto" w:fill="FFFFFF"/>
      <w:lang w:val="en-US"/>
    </w:rPr>
  </w:style>
  <w:style w:type="paragraph" w:customStyle="1" w:styleId="30">
    <w:name w:val="Основной текст (3)"/>
    <w:basedOn w:val="a"/>
    <w:link w:val="3"/>
    <w:uiPriority w:val="99"/>
    <w:qFormat/>
    <w:rsid w:val="00402C85"/>
    <w:pPr>
      <w:widowControl w:val="0"/>
      <w:shd w:val="clear" w:color="auto" w:fill="FFFFFF"/>
      <w:spacing w:after="0" w:line="197" w:lineRule="exact"/>
      <w:jc w:val="center"/>
    </w:pPr>
    <w:rPr>
      <w:rFonts w:cs="Calibri"/>
      <w:sz w:val="16"/>
      <w:szCs w:val="16"/>
      <w:lang w:val="en-US"/>
    </w:rPr>
  </w:style>
  <w:style w:type="character" w:customStyle="1" w:styleId="31">
    <w:name w:val="Основной текст (3) + Курсив"/>
    <w:uiPriority w:val="99"/>
    <w:qFormat/>
    <w:rsid w:val="00402C85"/>
    <w:rPr>
      <w:rFonts w:ascii="Calibri" w:hAnsi="Calibri" w:cs="Calibri"/>
      <w:i/>
      <w:iCs/>
      <w:sz w:val="16"/>
      <w:szCs w:val="16"/>
      <w:u w:val="none"/>
      <w:lang w:val="en-US" w:eastAsia="en-US"/>
    </w:rPr>
  </w:style>
  <w:style w:type="character" w:customStyle="1" w:styleId="11">
    <w:name w:val="Основной текст Знак1"/>
    <w:uiPriority w:val="99"/>
    <w:qFormat/>
    <w:rsid w:val="00402C85"/>
    <w:rPr>
      <w:rFonts w:ascii="Calibri" w:hAnsi="Calibri" w:cs="Calibri"/>
      <w:sz w:val="19"/>
      <w:szCs w:val="19"/>
      <w:u w:val="none"/>
    </w:rPr>
  </w:style>
  <w:style w:type="paragraph" w:customStyle="1" w:styleId="Style31">
    <w:name w:val="_Style 31"/>
    <w:uiPriority w:val="99"/>
    <w:semiHidden/>
    <w:qFormat/>
    <w:rsid w:val="00402C85"/>
    <w:pPr>
      <w:spacing w:after="0" w:line="240" w:lineRule="auto"/>
    </w:pPr>
    <w:rPr>
      <w:rFonts w:ascii="Times New Roman" w:eastAsia="SimSun" w:hAnsi="Times New Roman" w:cs="Times New Roman"/>
    </w:rPr>
  </w:style>
  <w:style w:type="paragraph" w:customStyle="1" w:styleId="ConsPlusTitle">
    <w:name w:val="ConsPlusTitle"/>
    <w:uiPriority w:val="99"/>
    <w:qFormat/>
    <w:rsid w:val="00402C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  <w:b/>
      <w:szCs w:val="20"/>
      <w:lang w:eastAsia="ru-RU"/>
    </w:rPr>
  </w:style>
  <w:style w:type="paragraph" w:customStyle="1" w:styleId="Default">
    <w:name w:val="Default"/>
    <w:uiPriority w:val="99"/>
    <w:qFormat/>
    <w:rsid w:val="00402C85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f6">
    <w:name w:val="List Paragraph"/>
    <w:basedOn w:val="a"/>
    <w:link w:val="af7"/>
    <w:uiPriority w:val="34"/>
    <w:qFormat/>
    <w:rsid w:val="00402C85"/>
    <w:pPr>
      <w:ind w:left="720"/>
      <w:contextualSpacing/>
    </w:pPr>
    <w:rPr>
      <w:rFonts w:ascii="Times New Roman" w:eastAsia="SimSun" w:hAnsi="Times New Roman" w:cs="Times New Roman"/>
      <w:lang w:val="en-US"/>
    </w:rPr>
  </w:style>
  <w:style w:type="character" w:customStyle="1" w:styleId="af7">
    <w:name w:val="Абзац списка Знак"/>
    <w:link w:val="af6"/>
    <w:uiPriority w:val="34"/>
    <w:qFormat/>
    <w:rsid w:val="00402C85"/>
    <w:rPr>
      <w:rFonts w:ascii="Times New Roman" w:eastAsia="SimSun" w:hAnsi="Times New Roman" w:cs="Times New Roman"/>
      <w:lang w:val="en-US"/>
    </w:rPr>
  </w:style>
  <w:style w:type="paragraph" w:customStyle="1" w:styleId="BodyText211">
    <w:name w:val="Body Text 211"/>
    <w:basedOn w:val="a"/>
    <w:uiPriority w:val="99"/>
    <w:qFormat/>
    <w:rsid w:val="00402C85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 CYR" w:eastAsia="SimSun" w:hAnsi="Times New Roman CYR" w:cs="Times New Roman CYR"/>
      <w:sz w:val="24"/>
      <w:szCs w:val="20"/>
      <w:lang w:eastAsia="zh-CN"/>
    </w:rPr>
  </w:style>
  <w:style w:type="paragraph" w:customStyle="1" w:styleId="23">
    <w:name w:val="Абзац списка2"/>
    <w:basedOn w:val="a"/>
    <w:uiPriority w:val="99"/>
    <w:qFormat/>
    <w:rsid w:val="00402C85"/>
    <w:pPr>
      <w:spacing w:after="200" w:line="276" w:lineRule="auto"/>
      <w:ind w:left="720"/>
    </w:pPr>
    <w:rPr>
      <w:rFonts w:ascii="Times New Roman" w:eastAsia="Times New Roman" w:hAnsi="Times New Roman" w:cs="Times New Roman"/>
    </w:rPr>
  </w:style>
  <w:style w:type="paragraph" w:customStyle="1" w:styleId="p1">
    <w:name w:val="p1"/>
    <w:basedOn w:val="a"/>
    <w:uiPriority w:val="99"/>
    <w:qFormat/>
    <w:rsid w:val="004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qFormat/>
    <w:rsid w:val="00402C85"/>
  </w:style>
  <w:style w:type="table" w:customStyle="1" w:styleId="110">
    <w:name w:val="Сетка таблицы11"/>
    <w:basedOn w:val="a1"/>
    <w:uiPriority w:val="39"/>
    <w:qFormat/>
    <w:rsid w:val="00402C85"/>
    <w:pPr>
      <w:spacing w:after="0" w:line="240" w:lineRule="auto"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еразрешенное упоминание1"/>
    <w:uiPriority w:val="99"/>
    <w:unhideWhenUsed/>
    <w:qFormat/>
    <w:rsid w:val="00402C85"/>
    <w:rPr>
      <w:color w:val="605E5C"/>
      <w:shd w:val="clear" w:color="auto" w:fill="E1DFDD"/>
    </w:rPr>
  </w:style>
  <w:style w:type="table" w:customStyle="1" w:styleId="13">
    <w:name w:val="Сетка таблицы светлая1"/>
    <w:basedOn w:val="a1"/>
    <w:uiPriority w:val="40"/>
    <w:qFormat/>
    <w:rsid w:val="00402C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uiPriority w:val="99"/>
    <w:qFormat/>
    <w:rsid w:val="00402C85"/>
    <w:pPr>
      <w:spacing w:after="200" w:line="27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lt-edited">
    <w:name w:val="alt-edited"/>
    <w:qFormat/>
    <w:rsid w:val="00402C85"/>
  </w:style>
  <w:style w:type="table" w:customStyle="1" w:styleId="24">
    <w:name w:val="Сетка таблицы2"/>
    <w:basedOn w:val="a1"/>
    <w:uiPriority w:val="39"/>
    <w:qFormat/>
    <w:rsid w:val="00402C8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39"/>
    <w:qFormat/>
    <w:rsid w:val="00402C8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Нормальный"/>
    <w:link w:val="af9"/>
    <w:uiPriority w:val="99"/>
    <w:qFormat/>
    <w:rsid w:val="00402C85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af9">
    <w:name w:val="Нормальный Знак"/>
    <w:link w:val="af8"/>
    <w:uiPriority w:val="99"/>
    <w:qFormat/>
    <w:locked/>
    <w:rsid w:val="00402C85"/>
    <w:rPr>
      <w:rFonts w:ascii="Times New Roman" w:eastAsia="Calibri" w:hAnsi="Times New Roman" w:cs="Times New Roman"/>
      <w:lang w:eastAsia="ru-RU"/>
    </w:rPr>
  </w:style>
  <w:style w:type="table" w:customStyle="1" w:styleId="210">
    <w:name w:val="Сетка таблицы21"/>
    <w:basedOn w:val="a1"/>
    <w:next w:val="a3"/>
    <w:uiPriority w:val="39"/>
    <w:qFormat/>
    <w:rsid w:val="00402C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qFormat/>
    <w:rsid w:val="00402C8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qFormat/>
    <w:rsid w:val="006646F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B6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orr@rostov.fish.gov.ru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6.jpeg"/><Relationship Id="rId39" Type="http://schemas.openxmlformats.org/officeDocument/2006/relationships/image" Target="media/image13.jpeg"/><Relationship Id="rId21" Type="http://schemas.openxmlformats.org/officeDocument/2006/relationships/chart" Target="charts/chart4.xml"/><Relationship Id="rId34" Type="http://schemas.openxmlformats.org/officeDocument/2006/relationships/chart" Target="charts/chart9.xml"/><Relationship Id="rId42" Type="http://schemas.openxmlformats.org/officeDocument/2006/relationships/image" Target="media/image16.png"/><Relationship Id="rId47" Type="http://schemas.openxmlformats.org/officeDocument/2006/relationships/hyperlink" Target="https://cimlyanskiyrayon.ru/otdely-administratsii/otdel-selskogo-khozyajstva/ekologicheskaya-sluzhba/19345-uvedomlenie-o-provedenii-obshchestvennykh-obsuzhdenij" TargetMode="External"/><Relationship Id="rId50" Type="http://schemas.openxmlformats.org/officeDocument/2006/relationships/hyperlink" Target="https://konstadmin.ru/sreda-novosti/11386-uvedomlenie-o-provedenii-obshestvennyh-obsuzhdenij.html" TargetMode="External"/><Relationship Id="rId55" Type="http://schemas.openxmlformats.org/officeDocument/2006/relationships/hyperlink" Target="https://dubovskoe.donland.ru/presscenter/news/243571/" TargetMode="External"/><Relationship Id="rId63" Type="http://schemas.openxmlformats.org/officeDocument/2006/relationships/hyperlink" Target="mailto:azniirkh@vniro.ru" TargetMode="External"/><Relationship Id="rId68" Type="http://schemas.openxmlformats.org/officeDocument/2006/relationships/hyperlink" Target="https://www.researchgate.net/profile/Bruno-Mourato/publication/339723561_ATLANTIC_YELLOWFIN_TUNA_STOCK_ASSESSMENT_AN_IMPLEMENTATION_OF_BAYESIAN_STATE-SPACE_SURPLUS_PRODUCTION_MODEL_USING_JABBA/links/5e612515458515163551c94f/ATLANTIC-YELLOWFIN-TUNA-STOCK-ASSESSMENT-AN-IMPLEMENTATION-OF-BAYESIAN-STATE-SPACE-SURPLUS-PRODUCTION-MODEL-USING-JABBA.pdf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dmrn@semikar.donpac.ru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arbour@fishcom.ru" TargetMode="External"/><Relationship Id="rId24" Type="http://schemas.openxmlformats.org/officeDocument/2006/relationships/image" Target="media/image4.png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image" Target="media/image14.png"/><Relationship Id="rId45" Type="http://schemas.openxmlformats.org/officeDocument/2006/relationships/hyperlink" Target="https://sem.donland.ru/presscenter/news/242700/" TargetMode="External"/><Relationship Id="rId53" Type="http://schemas.openxmlformats.org/officeDocument/2006/relationships/hyperlink" Target="https://octobdonland.ru/info/topical/topical_911.html" TargetMode="External"/><Relationship Id="rId58" Type="http://schemas.openxmlformats.org/officeDocument/2006/relationships/hyperlink" Target="https://xn--d1ahaoghbejbc5k.xn--p1ai/documents/active/304703/" TargetMode="External"/><Relationship Id="rId66" Type="http://schemas.openxmlformats.org/officeDocument/2006/relationships/hyperlink" Target="https://docs.cntd.ru/document/420389120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belousovvn@azniirkh.vniro.ru" TargetMode="Externa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chart" Target="charts/chart11.xml"/><Relationship Id="rId49" Type="http://schemas.openxmlformats.org/officeDocument/2006/relationships/hyperlink" Target="https://zimovniki.donland.ru/presscenter/news/242865/" TargetMode="External"/><Relationship Id="rId57" Type="http://schemas.openxmlformats.org/officeDocument/2006/relationships/hyperlink" Target="https://remadmin.donland.ru/presscenter/news/243660/" TargetMode="External"/><Relationship Id="rId61" Type="http://schemas.openxmlformats.org/officeDocument/2006/relationships/hyperlink" Target="https://azniirkh.vniro.ru/content/list/scientific-advice" TargetMode="External"/><Relationship Id="rId10" Type="http://schemas.openxmlformats.org/officeDocument/2006/relationships/image" Target="media/image2.emf"/><Relationship Id="rId19" Type="http://schemas.openxmlformats.org/officeDocument/2006/relationships/chart" Target="charts/chart2.xml"/><Relationship Id="rId31" Type="http://schemas.openxmlformats.org/officeDocument/2006/relationships/image" Target="media/image11.jpeg"/><Relationship Id="rId44" Type="http://schemas.openxmlformats.org/officeDocument/2006/relationships/image" Target="media/image18.png"/><Relationship Id="rId52" Type="http://schemas.openxmlformats.org/officeDocument/2006/relationships/hyperlink" Target="https://ustland.ru/main/ob-yavleniya/item/16207-uvedomlenie-o-provedenii-obshchestvennykh-obsuzhdenij" TargetMode="External"/><Relationship Id="rId60" Type="http://schemas.openxmlformats.org/officeDocument/2006/relationships/hyperlink" Target="http://www.rostov-fishcom.ru/news/16263/" TargetMode="External"/><Relationship Id="rId65" Type="http://schemas.openxmlformats.org/officeDocument/2006/relationships/hyperlink" Target="mailto:azniirkh@vnir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azniirkh@vniro.ru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chart" Target="charts/chart10.xml"/><Relationship Id="rId43" Type="http://schemas.openxmlformats.org/officeDocument/2006/relationships/image" Target="media/image17.png"/><Relationship Id="rId48" Type="http://schemas.openxmlformats.org/officeDocument/2006/relationships/hyperlink" Target="https://mart.donland.ru/presscenter/news/242930/" TargetMode="External"/><Relationship Id="rId56" Type="http://schemas.openxmlformats.org/officeDocument/2006/relationships/hyperlink" Target="https://volgodonr.donland.ru/presscenter/news/243568/" TargetMode="External"/><Relationship Id="rId64" Type="http://schemas.openxmlformats.org/officeDocument/2006/relationships/hyperlink" Target="mailto:ushsr@mail.ru" TargetMode="External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bagaev.donland.ru/presscenter/news/242942/" TargetMode="External"/><Relationship Id="rId3" Type="http://schemas.openxmlformats.org/officeDocument/2006/relationships/styles" Target="styles.xml"/><Relationship Id="rId12" Type="http://schemas.openxmlformats.org/officeDocument/2006/relationships/hyperlink" Target="mailto:info@rostov.fish.gov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chart" Target="charts/chart8.xml"/><Relationship Id="rId38" Type="http://schemas.openxmlformats.org/officeDocument/2006/relationships/image" Target="media/image12.png"/><Relationship Id="rId46" Type="http://schemas.openxmlformats.org/officeDocument/2006/relationships/hyperlink" Target="https://aksayland.ru/city/information/39687/" TargetMode="External"/><Relationship Id="rId59" Type="http://schemas.openxmlformats.org/officeDocument/2006/relationships/hyperlink" Target="https://rpn.gov.ru/" TargetMode="External"/><Relationship Id="rId67" Type="http://schemas.openxmlformats.org/officeDocument/2006/relationships/hyperlink" Target="https://www.iccat.int/Documents/CVSP/CV075_2018/n_5/CV075051003.pdf" TargetMode="External"/><Relationship Id="rId20" Type="http://schemas.openxmlformats.org/officeDocument/2006/relationships/chart" Target="charts/chart3.xml"/><Relationship Id="rId41" Type="http://schemas.openxmlformats.org/officeDocument/2006/relationships/image" Target="media/image15.png"/><Relationship Id="rId54" Type="http://schemas.openxmlformats.org/officeDocument/2006/relationships/hyperlink" Target="https://zavetnoe.donland.ru/presscenter/news/243695/" TargetMode="External"/><Relationship Id="rId62" Type="http://schemas.openxmlformats.org/officeDocument/2006/relationships/hyperlink" Target="mailto:ushsr@mail.ru" TargetMode="External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2018 г.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ср.- 11,1 см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70435812267984799"/>
          <c:y val="4.110965949884069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5523742796435497E-2"/>
          <c:y val="6.1523722090792501E-2"/>
          <c:w val="0.91871245905242005"/>
          <c:h val="0.714295566610658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2018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раки.xlsx]Дон 2017-2022'!$D$4:$J$4</c:f>
              <c:strCache>
                <c:ptCount val="7"/>
                <c:pt idx="0">
                  <c:v>7,1-9,0 
</c:v>
                </c:pt>
                <c:pt idx="1">
                  <c:v>9,1-10,0 </c:v>
                </c:pt>
                <c:pt idx="2">
                  <c:v>10,1-11,0 </c:v>
                </c:pt>
                <c:pt idx="3">
                  <c:v>11,1-12,0 </c:v>
                </c:pt>
                <c:pt idx="4">
                  <c:v>12,1-13,0 </c:v>
                </c:pt>
                <c:pt idx="5">
                  <c:v>13,1-14,0 </c:v>
                </c:pt>
                <c:pt idx="6">
                  <c:v>14,1-15,0 </c:v>
                </c:pt>
              </c:strCache>
            </c:strRef>
          </c:cat>
          <c:val>
            <c:numRef>
              <c:f>'[Размерный состав 2017-2022 РО раки.xlsx]Дон 2017-2022'!$D$7:$I$7</c:f>
              <c:numCache>
                <c:formatCode>General</c:formatCode>
                <c:ptCount val="6"/>
                <c:pt idx="0">
                  <c:v>11</c:v>
                </c:pt>
                <c:pt idx="1">
                  <c:v>14</c:v>
                </c:pt>
                <c:pt idx="2">
                  <c:v>31</c:v>
                </c:pt>
                <c:pt idx="3">
                  <c:v>29</c:v>
                </c:pt>
                <c:pt idx="4">
                  <c:v>12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95-4131-ABF6-669F3F34EC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100313344"/>
        <c:axId val="42250624"/>
      </c:barChart>
      <c:catAx>
        <c:axId val="100313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размерные</a:t>
                </a:r>
                <a:r>
                  <a:rPr lang="ru-RU" sz="800" baseline="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 </a:t>
                </a: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группы, см</a:t>
                </a:r>
              </a:p>
            </c:rich>
          </c:tx>
          <c:layout>
            <c:manualLayout>
              <c:xMode val="edge"/>
              <c:yMode val="edge"/>
              <c:x val="0.67362266570932605"/>
              <c:y val="0.9218967921896790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250624"/>
        <c:crosses val="autoZero"/>
        <c:auto val="1"/>
        <c:lblAlgn val="ctr"/>
        <c:lblOffset val="100"/>
        <c:tickLblSkip val="1"/>
        <c:noMultiLvlLbl val="0"/>
      </c:catAx>
      <c:valAx>
        <c:axId val="42250624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8.3870808369171296E-2"/>
              <c:y val="6.644774784317880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31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202</a:t>
            </a: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1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 г.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ср.- </a:t>
            </a: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9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,8 см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71613872036487203"/>
          <c:y val="8.29630671166104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91635129108725"/>
          <c:h val="0.7411538422562045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раки.xlsx]Сал 2017-2022 '!$D$3:$K$3</c:f>
              <c:strCache>
                <c:ptCount val="8"/>
                <c:pt idx="0">
                  <c:v>7,0-7,9 </c:v>
                </c:pt>
                <c:pt idx="1">
                  <c:v>8,0-8,9 </c:v>
                </c:pt>
                <c:pt idx="2">
                  <c:v>9,0-9,9 </c:v>
                </c:pt>
                <c:pt idx="3">
                  <c:v>10,0-10,9 </c:v>
                </c:pt>
                <c:pt idx="4">
                  <c:v>11,0-11,9 </c:v>
                </c:pt>
                <c:pt idx="5">
                  <c:v>12,0-12,9 </c:v>
                </c:pt>
                <c:pt idx="6">
                  <c:v>13,0-13,9 </c:v>
                </c:pt>
                <c:pt idx="7">
                  <c:v>&gt; 13,9 </c:v>
                </c:pt>
              </c:strCache>
            </c:strRef>
          </c:cat>
          <c:val>
            <c:numRef>
              <c:f>'[Размерный состав 2017-2022 РО раки.xlsx]Сал 2017-2022 '!$D$10:$J$10</c:f>
              <c:numCache>
                <c:formatCode>General</c:formatCode>
                <c:ptCount val="7"/>
                <c:pt idx="0">
                  <c:v>22</c:v>
                </c:pt>
                <c:pt idx="2">
                  <c:v>38</c:v>
                </c:pt>
                <c:pt idx="3">
                  <c:v>24</c:v>
                </c:pt>
                <c:pt idx="4">
                  <c:v>12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51-49BF-8CCC-87D6D69F8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165376"/>
        <c:axId val="108167552"/>
      </c:barChart>
      <c:catAx>
        <c:axId val="108165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800" cap="none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размерные</a:t>
                </a:r>
                <a:r>
                  <a:rPr lang="ru-RU" sz="800" cap="none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800" cap="none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группы, см</a:t>
                </a:r>
                <a:endParaRPr lang="ru-RU" sz="8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61346913323633334"/>
              <c:y val="0.9361087972111595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67552"/>
        <c:crosses val="autoZero"/>
        <c:auto val="1"/>
        <c:lblAlgn val="ctr"/>
        <c:lblOffset val="100"/>
        <c:tickLblSkip val="1"/>
        <c:noMultiLvlLbl val="0"/>
      </c:catAx>
      <c:valAx>
        <c:axId val="108167552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6.8885600444725401E-2"/>
              <c:y val="4.848934203573879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6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lang="en-US"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rPr>
              <a:t>2022 г.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lang="en-US"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lang="en-US"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rPr>
              <a:t>ср.- </a:t>
            </a: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rPr>
              <a:t>9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rPr>
              <a:t>,3 см</a:t>
            </a:r>
          </a:p>
        </c:rich>
      </c:tx>
      <c:layout>
        <c:manualLayout>
          <c:xMode val="edge"/>
          <c:yMode val="edge"/>
          <c:x val="0.76658925636052899"/>
          <c:y val="4.7093660377236703E-2"/>
        </c:manualLayout>
      </c:layout>
      <c:overlay val="0"/>
      <c:spPr>
        <a:noFill/>
        <a:ln w="3175" cap="flat" cmpd="sng" algn="ctr">
          <a:noFill/>
          <a:prstDash val="solid"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91635129108725"/>
          <c:h val="0.6845256172403320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раки.xlsx]Сал 2017-2022 '!$C$3:$K$3</c:f>
              <c:strCache>
                <c:ptCount val="9"/>
                <c:pt idx="0">
                  <c:v>&lt; 7,0 </c:v>
                </c:pt>
                <c:pt idx="1">
                  <c:v>7,0-7,9 </c:v>
                </c:pt>
                <c:pt idx="2">
                  <c:v>8,0-8,9 </c:v>
                </c:pt>
                <c:pt idx="3">
                  <c:v>9,0-9,9 </c:v>
                </c:pt>
                <c:pt idx="4">
                  <c:v>10,0-10,9 </c:v>
                </c:pt>
                <c:pt idx="5">
                  <c:v>11,0-11,9 </c:v>
                </c:pt>
                <c:pt idx="6">
                  <c:v>12,0-12,9 </c:v>
                </c:pt>
                <c:pt idx="7">
                  <c:v>13,0-13,9 </c:v>
                </c:pt>
                <c:pt idx="8">
                  <c:v>&gt; 13,9 </c:v>
                </c:pt>
              </c:strCache>
            </c:strRef>
          </c:cat>
          <c:val>
            <c:numRef>
              <c:f>'[Размерный состав 2017-2022 РО раки.xlsx]Сал 2017-2022 '!$C$11:$J$11</c:f>
              <c:numCache>
                <c:formatCode>General</c:formatCode>
                <c:ptCount val="8"/>
                <c:pt idx="0">
                  <c:v>2</c:v>
                </c:pt>
                <c:pt idx="1">
                  <c:v>14</c:v>
                </c:pt>
                <c:pt idx="2">
                  <c:v>28</c:v>
                </c:pt>
                <c:pt idx="3">
                  <c:v>25</c:v>
                </c:pt>
                <c:pt idx="4">
                  <c:v>16</c:v>
                </c:pt>
                <c:pt idx="5">
                  <c:v>11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CC-449D-928E-8E3F0546A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283392"/>
        <c:axId val="108285312"/>
      </c:barChart>
      <c:catAx>
        <c:axId val="108283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cap="none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размерные</a:t>
                </a:r>
                <a:r>
                  <a:rPr lang="ru-RU" sz="800" cap="none" baseline="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 группы, см</a:t>
                </a:r>
                <a:endParaRPr lang="ru-RU" sz="800" cap="none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5318541308164294"/>
              <c:y val="0.9218630645307267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08285312"/>
        <c:crosses val="autoZero"/>
        <c:auto val="1"/>
        <c:lblAlgn val="ctr"/>
        <c:lblOffset val="100"/>
        <c:tickLblSkip val="1"/>
        <c:noMultiLvlLbl val="0"/>
      </c:catAx>
      <c:valAx>
        <c:axId val="108285312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6.8885600444725401E-2"/>
              <c:y val="4.848934203573879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83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/>
              <a:t>2023 г.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/>
              <a:t>L</a:t>
            </a:r>
            <a:r>
              <a:rPr lang="ru-RU"/>
              <a:t>ср.- 10,1 см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rich>
      </c:tx>
      <c:layout>
        <c:manualLayout>
          <c:xMode val="edge"/>
          <c:yMode val="edge"/>
          <c:x val="0.70451678707698195"/>
          <c:y val="1.582148403511279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8907761560389297E-2"/>
          <c:y val="0.13464474133468399"/>
          <c:w val="0.87078423325263798"/>
          <c:h val="0.67003831452043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2017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'Сал 2017-2023 '!$D$4:$K$4</c:f>
              <c:strCache>
                <c:ptCount val="8"/>
                <c:pt idx="0">
                  <c:v>7,0-7,9
</c:v>
                </c:pt>
                <c:pt idx="1">
                  <c:v>8,0-8,9</c:v>
                </c:pt>
                <c:pt idx="2">
                  <c:v>9,1-10,0 </c:v>
                </c:pt>
                <c:pt idx="3">
                  <c:v>10,1-11,0 </c:v>
                </c:pt>
                <c:pt idx="4">
                  <c:v>11,1-12,0 </c:v>
                </c:pt>
                <c:pt idx="5">
                  <c:v>12,1-13,0 </c:v>
                </c:pt>
                <c:pt idx="6">
                  <c:v>13,1-14,0 </c:v>
                </c:pt>
                <c:pt idx="7">
                  <c:v>14,1-15,0 </c:v>
                </c:pt>
              </c:strCache>
            </c:strRef>
          </c:cat>
          <c:val>
            <c:numRef>
              <c:f>'Сал 2017-2023 '!$D$6:$K$6</c:f>
              <c:numCache>
                <c:formatCode>General</c:formatCode>
                <c:ptCount val="8"/>
                <c:pt idx="0">
                  <c:v>8</c:v>
                </c:pt>
                <c:pt idx="1">
                  <c:v>21</c:v>
                </c:pt>
                <c:pt idx="2">
                  <c:v>14</c:v>
                </c:pt>
                <c:pt idx="3">
                  <c:v>22</c:v>
                </c:pt>
                <c:pt idx="4">
                  <c:v>22</c:v>
                </c:pt>
                <c:pt idx="5">
                  <c:v>9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64-47D2-B618-C18A2C882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327296"/>
        <c:axId val="108329216"/>
      </c:barChart>
      <c:catAx>
        <c:axId val="1083272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размерные группы, см</a:t>
                </a:r>
              </a:p>
            </c:rich>
          </c:tx>
          <c:layout>
            <c:manualLayout>
              <c:xMode val="edge"/>
              <c:yMode val="edge"/>
              <c:x val="0.61403349357989601"/>
              <c:y val="0.9270790130572460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08329216"/>
        <c:crosses val="autoZero"/>
        <c:auto val="1"/>
        <c:lblAlgn val="ctr"/>
        <c:lblOffset val="100"/>
        <c:tickLblSkip val="1"/>
        <c:noMultiLvlLbl val="0"/>
      </c:catAx>
      <c:valAx>
        <c:axId val="108329216"/>
        <c:scaling>
          <c:orientation val="minMax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8.4157295384622396E-2"/>
              <c:y val="7.2042998909607595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0832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 sz="800" b="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108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2019 г.</a:t>
            </a:r>
          </a:p>
          <a:p>
            <a:pPr>
              <a:defRPr lang="en-US" sz="108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0"/>
              <a:t>L</a:t>
            </a:r>
            <a:r>
              <a:rPr lang="ru-RU" b="0"/>
              <a:t>ср.- 11,2 см</a:t>
            </a:r>
          </a:p>
          <a:p>
            <a:pPr>
              <a:defRPr lang="en-US" sz="108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711366810865939"/>
          <c:y val="4.96299212598425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396585128353705E-2"/>
          <c:y val="7.3058617672790899E-2"/>
          <c:w val="0.86030675853018401"/>
          <c:h val="0.642590113735783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2019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раки.xlsx]Дон 2017-2022'!$D$4:$J$4</c:f>
              <c:strCache>
                <c:ptCount val="7"/>
                <c:pt idx="0">
                  <c:v>7,1-9,0 
</c:v>
                </c:pt>
                <c:pt idx="1">
                  <c:v>9,1-10,0 </c:v>
                </c:pt>
                <c:pt idx="2">
                  <c:v>10,1-11,0 </c:v>
                </c:pt>
                <c:pt idx="3">
                  <c:v>11,1-12,0 </c:v>
                </c:pt>
                <c:pt idx="4">
                  <c:v>12,1-13,0 </c:v>
                </c:pt>
                <c:pt idx="5">
                  <c:v>13,1-14,0 </c:v>
                </c:pt>
                <c:pt idx="6">
                  <c:v>14,1-15,0 </c:v>
                </c:pt>
              </c:strCache>
            </c:strRef>
          </c:cat>
          <c:val>
            <c:numRef>
              <c:f>'[Размерный состав 2017-2022 РО раки.xlsx]Дон 2017-2022'!$D$8:$J$8</c:f>
              <c:numCache>
                <c:formatCode>General</c:formatCode>
                <c:ptCount val="7"/>
                <c:pt idx="0">
                  <c:v>9</c:v>
                </c:pt>
                <c:pt idx="1">
                  <c:v>12</c:v>
                </c:pt>
                <c:pt idx="2">
                  <c:v>26</c:v>
                </c:pt>
                <c:pt idx="3">
                  <c:v>16</c:v>
                </c:pt>
                <c:pt idx="4">
                  <c:v>24</c:v>
                </c:pt>
                <c:pt idx="5">
                  <c:v>9</c:v>
                </c:pt>
                <c:pt idx="6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F8-4D20-9809-C7FF6DEB44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2909056"/>
        <c:axId val="102910976"/>
      </c:barChart>
      <c:catAx>
        <c:axId val="10290905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defRPr lang="en-US"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 sz="800" b="0" i="0" cap="all" baseline="0">
                    <a:effectLst/>
                  </a:rPr>
                  <a:t>размерные группы, см</a:t>
                </a:r>
                <a:endParaRPr lang="ru-RU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67260907216441101"/>
              <c:y val="0.9162248468941379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10976"/>
        <c:crosses val="autoZero"/>
        <c:auto val="1"/>
        <c:lblAlgn val="ctr"/>
        <c:lblOffset val="100"/>
        <c:tickLblSkip val="1"/>
        <c:noMultiLvlLbl val="0"/>
      </c:catAx>
      <c:valAx>
        <c:axId val="102910976"/>
        <c:scaling>
          <c:orientation val="minMax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8.4310659583732198E-2"/>
              <c:y val="5.5336832895887998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0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 sz="9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2020 г.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ср.- 11,8 см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716138815981336"/>
          <c:y val="8.29630671166104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6400672356900299"/>
          <c:h val="0.7034829985366010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раки.xlsx]Дон 2017-2022'!$E$4:$K$4</c:f>
              <c:strCache>
                <c:ptCount val="7"/>
                <c:pt idx="0">
                  <c:v>9,1-10,0 </c:v>
                </c:pt>
                <c:pt idx="1">
                  <c:v>10,1-11,0 </c:v>
                </c:pt>
                <c:pt idx="2">
                  <c:v>11,1-12,0 </c:v>
                </c:pt>
                <c:pt idx="3">
                  <c:v>12,1-13,0 </c:v>
                </c:pt>
                <c:pt idx="4">
                  <c:v>13,1-14,0 </c:v>
                </c:pt>
                <c:pt idx="5">
                  <c:v>14,1-15,0 </c:v>
                </c:pt>
                <c:pt idx="6">
                  <c:v>&gt; 15,0 </c:v>
                </c:pt>
              </c:strCache>
            </c:strRef>
          </c:cat>
          <c:val>
            <c:numRef>
              <c:f>'[Размерный состав 2017-2022 РО раки.xlsx]Дон 2017-2022'!$E$9:$I$9</c:f>
              <c:numCache>
                <c:formatCode>General</c:formatCode>
                <c:ptCount val="5"/>
                <c:pt idx="0">
                  <c:v>5</c:v>
                </c:pt>
                <c:pt idx="1">
                  <c:v>18</c:v>
                </c:pt>
                <c:pt idx="2">
                  <c:v>41</c:v>
                </c:pt>
                <c:pt idx="3">
                  <c:v>23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47-4E29-9FB0-291A6E24B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2961152"/>
        <c:axId val="102963072"/>
      </c:barChart>
      <c:catAx>
        <c:axId val="102961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размерные</a:t>
                </a:r>
                <a:r>
                  <a:rPr lang="ru-RU" sz="800" baseline="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 г</a:t>
                </a: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руппы, см</a:t>
                </a:r>
              </a:p>
            </c:rich>
          </c:tx>
          <c:layout>
            <c:manualLayout>
              <c:xMode val="edge"/>
              <c:yMode val="edge"/>
              <c:x val="0.67158894857768903"/>
              <c:y val="0.921664978599667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63072"/>
        <c:crosses val="autoZero"/>
        <c:auto val="1"/>
        <c:lblAlgn val="ctr"/>
        <c:lblOffset val="100"/>
        <c:noMultiLvlLbl val="0"/>
      </c:catAx>
      <c:valAx>
        <c:axId val="102963072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8.4102337675080296E-2"/>
              <c:y val="6.644798030951530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6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20</a:t>
            </a: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21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 г.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ср.- </a:t>
            </a: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9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,</a:t>
            </a: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6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 см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711366810865939"/>
          <c:y val="4.96299212598425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9038057742782095E-2"/>
          <c:y val="6.7502924963231695E-2"/>
          <c:w val="0.86030675853018401"/>
          <c:h val="0.6425901137357830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раки.xlsx]Дон 2017-2022'!$C$2:$J$2</c:f>
              <c:strCache>
                <c:ptCount val="8"/>
                <c:pt idx="0">
                  <c:v>&lt; 7,0 </c:v>
                </c:pt>
                <c:pt idx="1">
                  <c:v>7,0-8,9 </c:v>
                </c:pt>
                <c:pt idx="2">
                  <c:v>9,0-9,9 </c:v>
                </c:pt>
                <c:pt idx="3">
                  <c:v>10,0-10,9 </c:v>
                </c:pt>
                <c:pt idx="4">
                  <c:v>11,0-11,9 </c:v>
                </c:pt>
                <c:pt idx="5">
                  <c:v>12,0-12,9 </c:v>
                </c:pt>
                <c:pt idx="6">
                  <c:v>13,0-13,9 </c:v>
                </c:pt>
                <c:pt idx="7">
                  <c:v>&gt; 13,9 </c:v>
                </c:pt>
              </c:strCache>
            </c:strRef>
          </c:cat>
          <c:val>
            <c:numRef>
              <c:f>'[Размерный состав 2017-2022 РО раки.xlsx]Дон 2017-2022'!$C$10:$J$10</c:f>
              <c:numCache>
                <c:formatCode>General</c:formatCode>
                <c:ptCount val="8"/>
                <c:pt idx="0">
                  <c:v>6</c:v>
                </c:pt>
                <c:pt idx="1">
                  <c:v>37</c:v>
                </c:pt>
                <c:pt idx="2">
                  <c:v>14</c:v>
                </c:pt>
                <c:pt idx="3">
                  <c:v>16</c:v>
                </c:pt>
                <c:pt idx="4">
                  <c:v>15</c:v>
                </c:pt>
                <c:pt idx="5">
                  <c:v>6</c:v>
                </c:pt>
                <c:pt idx="6">
                  <c:v>4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58-4545-B42F-AE0DE8B02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2992512"/>
        <c:axId val="105513728"/>
      </c:barChart>
      <c:catAx>
        <c:axId val="102992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размерные</a:t>
                </a:r>
                <a:r>
                  <a:rPr lang="ru-RU" sz="800" baseline="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 </a:t>
                </a: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группы, см</a:t>
                </a:r>
              </a:p>
            </c:rich>
          </c:tx>
          <c:layout>
            <c:manualLayout>
              <c:xMode val="edge"/>
              <c:yMode val="edge"/>
              <c:x val="0.67260907216441101"/>
              <c:y val="0.9162248468941379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513728"/>
        <c:crosses val="autoZero"/>
        <c:auto val="1"/>
        <c:lblAlgn val="ctr"/>
        <c:lblOffset val="100"/>
        <c:tickLblSkip val="1"/>
        <c:noMultiLvlLbl val="0"/>
      </c:catAx>
      <c:valAx>
        <c:axId val="105513728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8.4310659583732198E-2"/>
              <c:y val="5.5336832895887998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9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2022 г.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ср.- 9,9 см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71462095297402495"/>
          <c:y val="3.3972185012143198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6400672356900299"/>
          <c:h val="0.7034829985366010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423-4A64-B0BE-4CC8049E8EA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раки.xlsx]Дон 2017-2022'!$D$4:$J$4</c:f>
              <c:strCache>
                <c:ptCount val="7"/>
                <c:pt idx="0">
                  <c:v>7,1-9,0 
</c:v>
                </c:pt>
                <c:pt idx="1">
                  <c:v>9,1-10,0 </c:v>
                </c:pt>
                <c:pt idx="2">
                  <c:v>10,1-11,0 </c:v>
                </c:pt>
                <c:pt idx="3">
                  <c:v>11,1-12,0 </c:v>
                </c:pt>
                <c:pt idx="4">
                  <c:v>12,1-13,0 </c:v>
                </c:pt>
                <c:pt idx="5">
                  <c:v>13,1-14,0 </c:v>
                </c:pt>
                <c:pt idx="6">
                  <c:v>14,1-15,0 </c:v>
                </c:pt>
              </c:strCache>
            </c:strRef>
          </c:cat>
          <c:val>
            <c:numRef>
              <c:f>'[Размерный состав 2017-2022 РО раки.xlsx]Дон 2017-2022'!$D$5:$J$5</c:f>
              <c:numCache>
                <c:formatCode>General</c:formatCode>
                <c:ptCount val="7"/>
                <c:pt idx="0">
                  <c:v>4.3</c:v>
                </c:pt>
                <c:pt idx="1">
                  <c:v>27</c:v>
                </c:pt>
                <c:pt idx="2">
                  <c:v>27</c:v>
                </c:pt>
                <c:pt idx="3">
                  <c:v>29</c:v>
                </c:pt>
                <c:pt idx="4">
                  <c:v>10</c:v>
                </c:pt>
                <c:pt idx="5">
                  <c:v>1.4</c:v>
                </c:pt>
                <c:pt idx="6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23-4A64-B0BE-4CC8049E8E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axId val="105546496"/>
        <c:axId val="105549824"/>
      </c:barChart>
      <c:catAx>
        <c:axId val="105546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размерные группы, см</a:t>
                </a:r>
              </a:p>
            </c:rich>
          </c:tx>
          <c:layout>
            <c:manualLayout>
              <c:xMode val="edge"/>
              <c:yMode val="edge"/>
              <c:x val="0.50727212188625104"/>
              <c:y val="0.9278056419418160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549824"/>
        <c:crosses val="autoZero"/>
        <c:auto val="1"/>
        <c:lblAlgn val="ctr"/>
        <c:lblOffset val="100"/>
        <c:tickLblSkip val="1"/>
        <c:noMultiLvlLbl val="0"/>
      </c:catAx>
      <c:valAx>
        <c:axId val="105549824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8.3995164732348901E-2"/>
              <c:y val="5.560762221795449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546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2023 г.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L</a:t>
            </a:r>
            <a:r>
              <a:rPr lang="ru-RU" sz="110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ср.- 10,6 см</a:t>
            </a:r>
          </a:p>
          <a:p>
            <a:pPr>
              <a:defRPr lang="en-US" sz="11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 sz="11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70631376685391001"/>
          <c:y val="4.9905208129975502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0515242294448897E-2"/>
          <c:y val="6.75029689729848E-2"/>
          <c:w val="0.87453298120376299"/>
          <c:h val="0.68858534632323498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'Дон 2017-2022'!$C$4:$J$4</c:f>
              <c:strCache>
                <c:ptCount val="8"/>
                <c:pt idx="0">
                  <c:v>&lt; 7,0 </c:v>
                </c:pt>
                <c:pt idx="1">
                  <c:v>7,1-9,0 
</c:v>
                </c:pt>
                <c:pt idx="2">
                  <c:v>9,1-10,0 </c:v>
                </c:pt>
                <c:pt idx="3">
                  <c:v>10,1-11,0 </c:v>
                </c:pt>
                <c:pt idx="4">
                  <c:v>11,1-12,0 </c:v>
                </c:pt>
                <c:pt idx="5">
                  <c:v>12,1-13,0 </c:v>
                </c:pt>
                <c:pt idx="6">
                  <c:v>13,1-14,0 </c:v>
                </c:pt>
                <c:pt idx="7">
                  <c:v>14,1-15,0 </c:v>
                </c:pt>
              </c:strCache>
            </c:strRef>
          </c:cat>
          <c:val>
            <c:numRef>
              <c:f>'Дон 2017-2022'!$C$6:$J$6</c:f>
              <c:numCache>
                <c:formatCode>General</c:formatCode>
                <c:ptCount val="8"/>
                <c:pt idx="0">
                  <c:v>13</c:v>
                </c:pt>
                <c:pt idx="1">
                  <c:v>21</c:v>
                </c:pt>
                <c:pt idx="2">
                  <c:v>13</c:v>
                </c:pt>
                <c:pt idx="3">
                  <c:v>19</c:v>
                </c:pt>
                <c:pt idx="4">
                  <c:v>13</c:v>
                </c:pt>
                <c:pt idx="5">
                  <c:v>10</c:v>
                </c:pt>
                <c:pt idx="6">
                  <c:v>7</c:v>
                </c:pt>
                <c:pt idx="7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0D-4F7A-8F6C-1EA6DF287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107733760"/>
        <c:axId val="107735680"/>
      </c:barChart>
      <c:catAx>
        <c:axId val="107733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8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размерные</a:t>
                </a:r>
                <a:r>
                  <a:rPr lang="ru-RU" sz="800" baseline="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 г</a:t>
                </a:r>
                <a:r>
                  <a:rPr lang="ru-RU" sz="800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руппы, см</a:t>
                </a:r>
              </a:p>
            </c:rich>
          </c:tx>
          <c:layout>
            <c:manualLayout>
              <c:xMode val="edge"/>
              <c:yMode val="edge"/>
              <c:x val="0.58171582102533004"/>
              <c:y val="0.93156658302327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735680"/>
        <c:crosses val="autoZero"/>
        <c:auto val="1"/>
        <c:lblAlgn val="ctr"/>
        <c:lblOffset val="100"/>
        <c:tickLblSkip val="1"/>
        <c:noMultiLvlLbl val="0"/>
      </c:catAx>
      <c:valAx>
        <c:axId val="107735680"/>
        <c:scaling>
          <c:orientation val="minMax"/>
        </c:scaling>
        <c:delete val="0"/>
        <c:axPos val="l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2087780142794104E-2"/>
              <c:y val="6.644791074119539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733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/>
              <a:t>2018 г.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/>
              <a:t>L</a:t>
            </a:r>
            <a:r>
              <a:rPr lang="ru-RU"/>
              <a:t>ср.- 1</a:t>
            </a:r>
            <a:r>
              <a:rPr lang="en-US"/>
              <a:t>0</a:t>
            </a:r>
            <a:r>
              <a:rPr lang="ru-RU"/>
              <a:t>,</a:t>
            </a:r>
            <a:r>
              <a:rPr lang="en-US"/>
              <a:t>9</a:t>
            </a:r>
            <a:r>
              <a:rPr lang="ru-RU"/>
              <a:t> см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rich>
      </c:tx>
      <c:layout>
        <c:manualLayout>
          <c:xMode val="edge"/>
          <c:yMode val="edge"/>
          <c:x val="0.67539807524059503"/>
          <c:y val="8.29630671166104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6400672356900299"/>
          <c:h val="0.703482998536601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2018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раки.xlsx]Сал 2017-2022 '!$D$4:$K$4</c:f>
              <c:strCache>
                <c:ptCount val="8"/>
                <c:pt idx="0">
                  <c:v>7,1-9,0 
</c:v>
                </c:pt>
                <c:pt idx="2">
                  <c:v>9,1-10,0 </c:v>
                </c:pt>
                <c:pt idx="3">
                  <c:v>10,1-11,0 </c:v>
                </c:pt>
                <c:pt idx="4">
                  <c:v>11,1-12,0 </c:v>
                </c:pt>
                <c:pt idx="5">
                  <c:v>12,1-13,0 </c:v>
                </c:pt>
                <c:pt idx="6">
                  <c:v>13,1-14,0 </c:v>
                </c:pt>
                <c:pt idx="7">
                  <c:v>14,1-15,0 </c:v>
                </c:pt>
              </c:strCache>
            </c:strRef>
          </c:cat>
          <c:val>
            <c:numRef>
              <c:f>'[Размерный состав 2017-2022 РО раки.xlsx]Сал 2017-2022 '!$D$7:$J$7</c:f>
              <c:numCache>
                <c:formatCode>General</c:formatCode>
                <c:ptCount val="7"/>
                <c:pt idx="0">
                  <c:v>11</c:v>
                </c:pt>
                <c:pt idx="2">
                  <c:v>15</c:v>
                </c:pt>
                <c:pt idx="3">
                  <c:v>26</c:v>
                </c:pt>
                <c:pt idx="4">
                  <c:v>30</c:v>
                </c:pt>
                <c:pt idx="5">
                  <c:v>17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93-413F-BDB8-AE120B4B9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6190464"/>
        <c:axId val="36196736"/>
      </c:barChart>
      <c:catAx>
        <c:axId val="36190464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размерные группы, см</a:t>
                </a:r>
              </a:p>
            </c:rich>
          </c:tx>
          <c:layout>
            <c:manualLayout>
              <c:xMode val="edge"/>
              <c:yMode val="edge"/>
              <c:x val="0.69287139107611595"/>
              <c:y val="0.8940026246719160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36196736"/>
        <c:crosses val="autoZero"/>
        <c:auto val="1"/>
        <c:lblAlgn val="ctr"/>
        <c:lblOffset val="100"/>
        <c:tickLblSkip val="1"/>
        <c:noMultiLvlLbl val="0"/>
      </c:catAx>
      <c:valAx>
        <c:axId val="36196736"/>
        <c:scaling>
          <c:orientation val="minMax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9.1052054222287598E-2"/>
              <c:y val="6.046651599330680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3619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en-US" sz="800" b="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/>
              <a:t>2019 г.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/>
              <a:t>L</a:t>
            </a:r>
            <a:r>
              <a:rPr lang="ru-RU"/>
              <a:t>ср.- 11,</a:t>
            </a:r>
            <a:r>
              <a:rPr lang="en-US"/>
              <a:t>3</a:t>
            </a:r>
            <a:r>
              <a:rPr lang="ru-RU"/>
              <a:t> см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rich>
      </c:tx>
      <c:layout>
        <c:manualLayout>
          <c:xMode val="edge"/>
          <c:yMode val="edge"/>
          <c:x val="0.12766947742441001"/>
          <c:y val="7.93586964580889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6400672356900299"/>
          <c:h val="0.7300345492527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2019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раки.xlsx]Сал 2017-2022 '!$D$4:$K$4</c:f>
              <c:strCache>
                <c:ptCount val="8"/>
                <c:pt idx="0">
                  <c:v>7,1-9,0 
</c:v>
                </c:pt>
                <c:pt idx="2">
                  <c:v>9,1-10,0 </c:v>
                </c:pt>
                <c:pt idx="3">
                  <c:v>10,1-11,0 </c:v>
                </c:pt>
                <c:pt idx="4">
                  <c:v>11,1-12,0 </c:v>
                </c:pt>
                <c:pt idx="5">
                  <c:v>12,1-13,0 </c:v>
                </c:pt>
                <c:pt idx="6">
                  <c:v>13,1-14,0 </c:v>
                </c:pt>
                <c:pt idx="7">
                  <c:v>14,1-15,0 </c:v>
                </c:pt>
              </c:strCache>
            </c:strRef>
          </c:cat>
          <c:val>
            <c:numRef>
              <c:f>'[Размерный состав 2017-2022 РО раки.xlsx]Сал 2017-2022 '!$D$8:$J$8</c:f>
              <c:numCache>
                <c:formatCode>General</c:formatCode>
                <c:ptCount val="7"/>
                <c:pt idx="0">
                  <c:v>9</c:v>
                </c:pt>
                <c:pt idx="2">
                  <c:v>10</c:v>
                </c:pt>
                <c:pt idx="3">
                  <c:v>23</c:v>
                </c:pt>
                <c:pt idx="4">
                  <c:v>23</c:v>
                </c:pt>
                <c:pt idx="5">
                  <c:v>28</c:v>
                </c:pt>
                <c:pt idx="6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65-4430-91A4-6C0428C52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6230272"/>
        <c:axId val="36232192"/>
      </c:barChart>
      <c:catAx>
        <c:axId val="36230272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размерные</a:t>
                </a:r>
                <a:r>
                  <a:rPr lang="ru-RU" baseline="0"/>
                  <a:t> </a:t>
                </a:r>
                <a:r>
                  <a:rPr lang="ru-RU"/>
                  <a:t>.группы, см</a:t>
                </a:r>
              </a:p>
            </c:rich>
          </c:tx>
          <c:layout>
            <c:manualLayout>
              <c:xMode val="edge"/>
              <c:yMode val="edge"/>
              <c:x val="0.58366811561943599"/>
              <c:y val="0.9312801305922819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36232192"/>
        <c:crosses val="autoZero"/>
        <c:auto val="1"/>
        <c:lblAlgn val="ctr"/>
        <c:lblOffset val="100"/>
        <c:noMultiLvlLbl val="0"/>
      </c:catAx>
      <c:valAx>
        <c:axId val="36232192"/>
        <c:scaling>
          <c:orientation val="minMax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7.5837724596401201E-2"/>
              <c:y val="2.767453321877329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3623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en-US" sz="800" b="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/>
              <a:t>2020 г.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US"/>
              <a:t>L</a:t>
            </a:r>
            <a:r>
              <a:rPr lang="ru-RU"/>
              <a:t>ср.- </a:t>
            </a:r>
            <a:r>
              <a:rPr lang="en-US"/>
              <a:t>9</a:t>
            </a:r>
            <a:r>
              <a:rPr lang="ru-RU"/>
              <a:t>,</a:t>
            </a:r>
            <a:r>
              <a:rPr lang="en-US"/>
              <a:t>2</a:t>
            </a:r>
            <a:r>
              <a:rPr lang="ru-RU"/>
              <a:t> см</a:t>
            </a:r>
          </a:p>
          <a:p>
            <a:pPr>
              <a:defRPr lang="en-US" sz="96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rich>
      </c:tx>
      <c:layout>
        <c:manualLayout>
          <c:xMode val="edge"/>
          <c:yMode val="edge"/>
          <c:x val="0.71613872036487203"/>
          <c:y val="8.29630671166104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357239128892702E-2"/>
          <c:y val="6.7502924963231695E-2"/>
          <c:w val="0.891635129108725"/>
          <c:h val="0.73907911956550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2020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'[Размерный состав 2017-2022 РО раки.xlsx]Сал 2017-2022 '!$D$4:$K$4</c:f>
              <c:strCache>
                <c:ptCount val="8"/>
                <c:pt idx="0">
                  <c:v>7,1-9,0 
</c:v>
                </c:pt>
                <c:pt idx="2">
                  <c:v>9,1-10,0 </c:v>
                </c:pt>
                <c:pt idx="3">
                  <c:v>10,1-11,0 </c:v>
                </c:pt>
                <c:pt idx="4">
                  <c:v>11,1-12,0 </c:v>
                </c:pt>
                <c:pt idx="5">
                  <c:v>12,1-13,0 </c:v>
                </c:pt>
                <c:pt idx="6">
                  <c:v>13,1-14,0 </c:v>
                </c:pt>
                <c:pt idx="7">
                  <c:v>14,1-15,0 </c:v>
                </c:pt>
              </c:strCache>
            </c:strRef>
          </c:cat>
          <c:val>
            <c:numRef>
              <c:f>'[Размерный состав 2017-2022 РО раки.xlsx]Сал 2017-2022 '!$D$9:$I$9</c:f>
              <c:numCache>
                <c:formatCode>General</c:formatCode>
                <c:ptCount val="6"/>
                <c:pt idx="0">
                  <c:v>41</c:v>
                </c:pt>
                <c:pt idx="2">
                  <c:v>24</c:v>
                </c:pt>
                <c:pt idx="3">
                  <c:v>22</c:v>
                </c:pt>
                <c:pt idx="4">
                  <c:v>10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6E-4873-8882-55E8940745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113920"/>
        <c:axId val="108115840"/>
      </c:barChart>
      <c:catAx>
        <c:axId val="108113920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размерные</a:t>
                </a:r>
                <a:r>
                  <a:rPr lang="ru-RU" baseline="0"/>
                  <a:t> </a:t>
                </a:r>
                <a:r>
                  <a:rPr lang="ru-RU"/>
                  <a:t>группы, см</a:t>
                </a:r>
              </a:p>
            </c:rich>
          </c:tx>
          <c:layout>
            <c:manualLayout>
              <c:xMode val="edge"/>
              <c:yMode val="edge"/>
              <c:x val="0.63047619047619052"/>
              <c:y val="0.9345604423021266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08115840"/>
        <c:crosses val="autoZero"/>
        <c:auto val="1"/>
        <c:lblAlgn val="ctr"/>
        <c:lblOffset val="100"/>
        <c:noMultiLvlLbl val="0"/>
      </c:catAx>
      <c:valAx>
        <c:axId val="108115840"/>
        <c:scaling>
          <c:orientation val="minMax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6.8885600444725401E-2"/>
              <c:y val="4.848934203573879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0811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en-US" sz="800" b="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atMod val="350000"/>
              <a:shade val="99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atMod val="350000"/>
              <a:shade val="99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atMod val="350000"/>
              <a:shade val="99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E25AB-C620-4A1B-BC9F-EE41B754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115</Pages>
  <Words>25312</Words>
  <Characters>144285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 Валерьевич Котов</dc:creator>
  <cp:lastModifiedBy>user1</cp:lastModifiedBy>
  <cp:revision>18</cp:revision>
  <cp:lastPrinted>2024-03-18T12:16:00Z</cp:lastPrinted>
  <dcterms:created xsi:type="dcterms:W3CDTF">2024-03-13T07:56:00Z</dcterms:created>
  <dcterms:modified xsi:type="dcterms:W3CDTF">2024-03-20T09:33:00Z</dcterms:modified>
</cp:coreProperties>
</file>